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45" w:rightFromText="45" w:vertAnchor="text" w:horzAnchor="margin" w:tblpXSpec="right" w:tblpY="-293"/>
        <w:tblW w:w="2250" w:type="pct"/>
        <w:tblCellSpacing w:w="22" w:type="dxa"/>
        <w:tblCellMar>
          <w:top w:w="30" w:type="dxa"/>
          <w:left w:w="30" w:type="dxa"/>
          <w:bottom w:w="30" w:type="dxa"/>
          <w:right w:w="30" w:type="dxa"/>
        </w:tblCellMar>
        <w:tblLook w:val="04A0" w:firstRow="1" w:lastRow="0" w:firstColumn="1" w:lastColumn="0" w:noHBand="0" w:noVBand="1"/>
      </w:tblPr>
      <w:tblGrid>
        <w:gridCol w:w="4341"/>
      </w:tblGrid>
      <w:tr>
        <w:trPr>
          <w:tblCellSpacing w:w="22" w:type="dxa"/>
        </w:trPr>
        <w:tc>
          <w:tcPr>
            <w:tcW w:w="4899" w:type="pct"/>
            <w:hideMark/>
          </w:tcPr>
          <w:p>
            <w:pPr>
              <w:spacing w:after="0" w:line="240" w:lineRule="auto"/>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ЗАТВЕРДЖЕНО</w:t>
            </w:r>
          </w:p>
          <w:p>
            <w:pPr>
              <w:spacing w:after="0" w:line="240" w:lineRule="auto"/>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Наказ Міністерства енергетики та захисту довкілля України</w:t>
            </w:r>
          </w:p>
          <w:p>
            <w:pPr>
              <w:spacing w:after="0" w:line="240" w:lineRule="auto"/>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_________________ № _________</w:t>
            </w:r>
          </w:p>
          <w:p>
            <w:pPr>
              <w:spacing w:before="100" w:beforeAutospacing="1" w:after="100" w:afterAutospacing="1" w:line="240" w:lineRule="auto"/>
              <w:rPr>
                <w:rFonts w:ascii="Times New Roman" w:eastAsiaTheme="minorEastAsia" w:hAnsi="Times New Roman" w:cs="Times New Roman"/>
                <w:sz w:val="24"/>
                <w:szCs w:val="24"/>
                <w:lang w:eastAsia="uk-UA"/>
              </w:rPr>
            </w:pPr>
          </w:p>
        </w:tc>
      </w:tr>
    </w:tbl>
    <w:p>
      <w:pPr>
        <w:spacing w:before="100" w:beforeAutospacing="1" w:after="100" w:afterAutospacing="1" w:line="240" w:lineRule="auto"/>
        <w:jc w:val="both"/>
        <w:rPr>
          <w:rFonts w:ascii="Times New Roman" w:eastAsiaTheme="minorEastAsia" w:hAnsi="Times New Roman" w:cs="Times New Roman"/>
          <w:sz w:val="24"/>
          <w:szCs w:val="24"/>
          <w:lang w:eastAsia="uk-UA"/>
        </w:rPr>
      </w:pPr>
    </w:p>
    <w:p>
      <w:pPr>
        <w:spacing w:before="100" w:beforeAutospacing="1" w:after="100" w:afterAutospacing="1" w:line="240" w:lineRule="auto"/>
        <w:jc w:val="both"/>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br w:type="textWrapping" w:clear="all"/>
      </w:r>
      <w:bookmarkStart w:id="0" w:name="_GoBack"/>
      <w:bookmarkEnd w:id="0"/>
    </w:p>
    <w:p>
      <w:pPr>
        <w:spacing w:before="100" w:beforeAutospacing="1" w:after="100" w:afterAutospacing="1" w:line="240" w:lineRule="auto"/>
        <w:jc w:val="center"/>
        <w:outlineLvl w:val="2"/>
        <w:rPr>
          <w:rFonts w:ascii="Times New Roman" w:eastAsia="Times New Roman" w:hAnsi="Times New Roman" w:cs="Times New Roman"/>
          <w:b/>
          <w:bCs/>
          <w:sz w:val="27"/>
          <w:szCs w:val="27"/>
          <w:lang w:eastAsia="uk-UA"/>
        </w:rPr>
      </w:pPr>
      <w:r>
        <w:rPr>
          <w:rFonts w:ascii="Times New Roman" w:eastAsia="Times New Roman" w:hAnsi="Times New Roman" w:cs="Times New Roman"/>
          <w:b/>
          <w:bCs/>
          <w:sz w:val="27"/>
          <w:szCs w:val="27"/>
          <w:lang w:eastAsia="uk-UA"/>
        </w:rPr>
        <w:t>Положення</w:t>
      </w:r>
      <w:r>
        <w:rPr>
          <w:rFonts w:ascii="Times New Roman" w:eastAsia="Times New Roman" w:hAnsi="Times New Roman" w:cs="Times New Roman"/>
          <w:b/>
          <w:bCs/>
          <w:sz w:val="27"/>
          <w:szCs w:val="27"/>
          <w:lang w:eastAsia="uk-UA"/>
        </w:rPr>
        <w:br/>
        <w:t>про Робочу групу з відбору заходів з розвитку галузі енергетики, які можуть фінансуватись за бюджетною програмою КПКВК 2401490 «Підтримка впровадження Енергетичної стратегії України»</w:t>
      </w:r>
    </w:p>
    <w:p>
      <w:pPr>
        <w:spacing w:before="100" w:beforeAutospacing="1" w:after="100" w:afterAutospacing="1" w:line="240" w:lineRule="auto"/>
        <w:ind w:firstLine="567"/>
        <w:jc w:val="both"/>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1. Основним завданням Робочої групи є відбір заходів щодо розвитку галузі енергетики, які можуть фінансуватись за бюджетною програмою КПКВК 2401490 «Підтримка впровадження Енергетичної стратегії України» (далі – бюджетна програма).</w:t>
      </w:r>
    </w:p>
    <w:p>
      <w:pPr>
        <w:spacing w:before="100" w:beforeAutospacing="1" w:after="100" w:afterAutospacing="1" w:line="240" w:lineRule="auto"/>
        <w:ind w:firstLine="567"/>
        <w:jc w:val="both"/>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2. Робоча група відповідно до покладених на неї завдань:</w:t>
      </w:r>
    </w:p>
    <w:p>
      <w:pPr>
        <w:spacing w:before="100" w:beforeAutospacing="1" w:after="100" w:afterAutospacing="1" w:line="240" w:lineRule="auto"/>
        <w:ind w:firstLine="567"/>
        <w:jc w:val="both"/>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2.1. розглядає та визначає заходи, які можуть фінансуватись за бюджетною програмою;</w:t>
      </w:r>
    </w:p>
    <w:p>
      <w:pPr>
        <w:spacing w:before="100" w:beforeAutospacing="1" w:after="100" w:afterAutospacing="1" w:line="240" w:lineRule="auto"/>
        <w:ind w:firstLine="567"/>
        <w:jc w:val="both"/>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2.2. визначає обсяг фінансування заходів за бюджетною програмою;</w:t>
      </w:r>
    </w:p>
    <w:p>
      <w:pPr>
        <w:spacing w:before="100" w:beforeAutospacing="1" w:after="100" w:afterAutospacing="1" w:line="240" w:lineRule="auto"/>
        <w:ind w:firstLine="567"/>
        <w:jc w:val="both"/>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2.3. ухвалює рішення про фінансування заходу.</w:t>
      </w:r>
    </w:p>
    <w:p>
      <w:pPr>
        <w:spacing w:before="100" w:beforeAutospacing="1" w:after="100" w:afterAutospacing="1" w:line="240" w:lineRule="auto"/>
        <w:ind w:firstLine="567"/>
        <w:jc w:val="both"/>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3. Робочу групу очолює голова, який скликає і проводить засідання Робочої групи та організовує її роботу у відповідності до актів законодавства та цього Положення. У разі відсутності голови Робочої групи його функції виконує  заступник голови Робочої групи.</w:t>
      </w:r>
    </w:p>
    <w:p>
      <w:pPr>
        <w:spacing w:before="100" w:beforeAutospacing="1" w:after="100" w:afterAutospacing="1" w:line="240" w:lineRule="auto"/>
        <w:ind w:firstLine="567"/>
        <w:jc w:val="both"/>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4. Персональний склад Робочої групи затверджується наказом Мінекоенерго.</w:t>
      </w:r>
    </w:p>
    <w:p>
      <w:pPr>
        <w:spacing w:before="100" w:beforeAutospacing="1" w:after="100" w:afterAutospacing="1" w:line="240" w:lineRule="auto"/>
        <w:ind w:firstLine="567"/>
        <w:jc w:val="both"/>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До складу Робочої групи входять голова, заступник голови, представники від структурних підрозділів центрального апарату Мінекоенерго.</w:t>
      </w:r>
    </w:p>
    <w:p>
      <w:pPr>
        <w:spacing w:before="100" w:beforeAutospacing="1" w:after="100" w:afterAutospacing="1" w:line="240" w:lineRule="auto"/>
        <w:ind w:firstLine="567"/>
        <w:jc w:val="both"/>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5. Засідання Робочої групи вважається правоможним, якщо на ньому присутні не менше половини її членів.</w:t>
      </w:r>
    </w:p>
    <w:p>
      <w:pPr>
        <w:spacing w:before="100" w:beforeAutospacing="1" w:after="100" w:afterAutospacing="1" w:line="240" w:lineRule="auto"/>
        <w:ind w:firstLine="567"/>
        <w:jc w:val="both"/>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6. За результатами роботи засідання Робочої групи оформлюється протокол, який підписується всіма членами Робочої групи, що присутні на засіданні, та затверджується її головою.</w:t>
      </w:r>
    </w:p>
    <w:p>
      <w:pPr>
        <w:spacing w:before="100" w:beforeAutospacing="1" w:after="100" w:afterAutospacing="1" w:line="240" w:lineRule="auto"/>
        <w:ind w:firstLine="567"/>
        <w:jc w:val="both"/>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7. Рішення Робочої групи про фінансування заходу ухвалюються на її засіданні шляхом відкритого голосування простою більшістю голосів присутніх на засіданні членів Робочої групи. У разі рівного розподілу голосів вирішальним є голос головуючого на засіданні.</w:t>
      </w:r>
    </w:p>
    <w:p>
      <w:pPr>
        <w:spacing w:before="100" w:beforeAutospacing="1" w:after="100" w:afterAutospacing="1" w:line="240" w:lineRule="auto"/>
        <w:ind w:firstLine="567"/>
        <w:jc w:val="both"/>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8. Рішення Робочої групи про фінансування заходу ухвалюється за результатами розгляду резюме заходу з розвитку галузі енергетики, підприємствами державної форми власності, що належать до сфери управління Мінекоенерго, господарськими товариствами, щодо яких Міністерство здійснює управління корпоративними правами держави та 100 відсотків акцій яких належать державі (далі – Підприємства), структурними підрозділами центрального апарату Мінекоенерго за формою, наведеною у додатку до цього Положення.</w:t>
      </w:r>
    </w:p>
    <w:p>
      <w:pPr>
        <w:spacing w:before="100" w:beforeAutospacing="1" w:after="100" w:afterAutospacing="1" w:line="240" w:lineRule="auto"/>
        <w:ind w:firstLine="567"/>
        <w:jc w:val="both"/>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lastRenderedPageBreak/>
        <w:t>Рішення Робочої групи про фінансування заходу має містити назву заходу, отримувача бюджетних коштів, відповідність напрямам використання коштів за бюджетною програмою та обсяг фінансування.</w:t>
      </w:r>
    </w:p>
    <w:p>
      <w:pPr>
        <w:spacing w:before="100" w:beforeAutospacing="1" w:after="100" w:afterAutospacing="1" w:line="240" w:lineRule="auto"/>
        <w:ind w:firstLine="567"/>
        <w:jc w:val="both"/>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9. Рішення про фінансування заходу підписується головою Робочої групи та затверджується Міністром енергетики та захисту довкілля.</w:t>
      </w:r>
    </w:p>
    <w:p>
      <w:pPr>
        <w:spacing w:before="100" w:beforeAutospacing="1" w:after="100" w:afterAutospacing="1" w:line="240" w:lineRule="auto"/>
        <w:ind w:firstLine="567"/>
        <w:jc w:val="both"/>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10. На засіданнях Робочої групи можуть бути присутні (без права голосу) представники Підприємств та структурних підрозділів центрального апарату Мінекоенерго, які надали пропозиції щодо фінансування заходів.</w:t>
      </w:r>
    </w:p>
    <w:p>
      <w:pPr>
        <w:spacing w:before="100" w:beforeAutospacing="1" w:after="100" w:afterAutospacing="1" w:line="240" w:lineRule="auto"/>
        <w:ind w:firstLine="567"/>
        <w:jc w:val="both"/>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11. Позитивне рішення Робочої групи про фінансування заходу за рахунок коштів бюджетної програми може бути ухвалено виключно в разі відповідності заходу та отримувача бюджетних коштів вимогам Порядку використання коштів, передбачених у державному бюджеті для здійснення заходів з розвитку галузі енергетики, затвердженого постановою Кабінету Міністрів України від 28.12.2016 № 1064 «Питання виконання Угоди про фінансування програми «Продовження підтримки реалізації Енергетичної стратегії України».</w:t>
      </w:r>
    </w:p>
    <w:p>
      <w:pPr>
        <w:spacing w:before="100" w:beforeAutospacing="1" w:after="100" w:afterAutospacing="1" w:line="240" w:lineRule="auto"/>
        <w:ind w:firstLine="567"/>
        <w:jc w:val="both"/>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12. Підприємства, по яких затверджено рішення про фінансування, в триденний термін подають до Мінекоенерго пропозиції щодо показників паспорта бюджетної програми на відповідний рік за формою, встановленою наказом Мінфіну від 29.12.2002 № 1098 «Про паспорти бюджетних програм», зареєстрованого в Мінюсті 21.01.2003 за № 47/7368.</w:t>
      </w:r>
    </w:p>
    <w:p>
      <w:pPr>
        <w:spacing w:before="100" w:beforeAutospacing="1" w:after="100" w:afterAutospacing="1" w:line="240" w:lineRule="auto"/>
        <w:ind w:firstLine="567"/>
        <w:jc w:val="both"/>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13. Організаційно-технічне забезпечення роботи Робочої групи здійснює Головне управління екологічної та енергетичної політики Директорату стратегії енергетичного переходу та стратегічного планування.</w:t>
      </w:r>
    </w:p>
    <w:p>
      <w:pPr>
        <w:spacing w:before="100" w:beforeAutospacing="1" w:after="100" w:afterAutospacing="1" w:line="240" w:lineRule="auto"/>
        <w:jc w:val="center"/>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____________________</w:t>
      </w:r>
    </w:p>
    <w:p>
      <w:pPr>
        <w:spacing w:before="100" w:beforeAutospacing="1" w:after="100" w:afterAutospacing="1" w:line="240" w:lineRule="auto"/>
        <w:jc w:val="both"/>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br w:type="textWrapping" w:clear="all"/>
      </w:r>
    </w:p>
    <w:p/>
    <w:sectPr>
      <w:headerReference w:type="even" r:id="rId7"/>
      <w:headerReference w:type="default" r:id="rId8"/>
      <w:footerReference w:type="even" r:id="rId9"/>
      <w:footerReference w:type="default" r:id="rId10"/>
      <w:headerReference w:type="first" r:id="rId11"/>
      <w:footerReference w:type="first" r:id="rId12"/>
      <w:pgSz w:w="11906" w:h="16838"/>
      <w:pgMar w:top="142" w:right="566" w:bottom="850" w:left="169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1241504"/>
      <w:docPartObj>
        <w:docPartGallery w:val="Page Numbers (Top of Page)"/>
        <w:docPartUnique/>
      </w:docPartObj>
    </w:sdtPr>
    <w:sdtContent>
      <w:p>
        <w:pPr>
          <w:pStyle w:val="a3"/>
          <w:jc w:val="center"/>
        </w:pPr>
        <w:r>
          <w:fldChar w:fldCharType="begin"/>
        </w:r>
        <w:r>
          <w:instrText>PAGE   \* MERGEFORMAT</w:instrText>
        </w:r>
        <w:r>
          <w:fldChar w:fldCharType="separate"/>
        </w:r>
        <w:r>
          <w:rPr>
            <w:noProof/>
            <w:lang w:val="ru-RU"/>
          </w:rPr>
          <w:t>2</w:t>
        </w:r>
        <w:r>
          <w:fldChar w:fldCharType="end"/>
        </w:r>
      </w:p>
    </w:sdtContent>
  </w:sdt>
  <w:p>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9AA6D3-1DDB-495E-8D45-17AB2AB03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819"/>
        <w:tab w:val="right" w:pos="9639"/>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819"/>
        <w:tab w:val="right" w:pos="9639"/>
      </w:tabs>
      <w:spacing w:after="0" w:line="240" w:lineRule="auto"/>
    </w:pPr>
  </w:style>
  <w:style w:type="character" w:customStyle="1" w:styleId="a6">
    <w:name w:val="Нижний колонтитул Знак"/>
    <w:basedOn w:val="a0"/>
    <w:link w:val="a5"/>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82F5F8-0CEC-43DC-BE08-5DD9E48AE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2460</Words>
  <Characters>1403</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Олексій Дубас</dc:creator>
  <cp:keywords/>
  <dc:description/>
  <cp:lastModifiedBy>Олексій Дубас</cp:lastModifiedBy>
  <cp:revision>23</cp:revision>
  <dcterms:created xsi:type="dcterms:W3CDTF">2020-02-24T10:13:00Z</dcterms:created>
  <dcterms:modified xsi:type="dcterms:W3CDTF">2020-02-25T14:03:00Z</dcterms:modified>
</cp:coreProperties>
</file>