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Бузівська ділянка</w:t>
      </w:r>
    </w:p>
    <w:p>
      <w:pPr>
        <w:jc w:val="center"/>
        <w:rPr>
          <w:rFonts w:ascii="Times New Roman" w:hAnsi="Times New Roman" w:cs="Times New Roman"/>
          <w:b/>
          <w:color w:val="000000" w:themeColor="text1"/>
          <w:sz w:val="28"/>
          <w:szCs w:val="28"/>
        </w:rPr>
      </w:pPr>
    </w:p>
    <w:tbl>
      <w:tblPr>
        <w:tblW w:w="154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4"/>
        <w:gridCol w:w="12049"/>
      </w:tblGrid>
      <w:tr>
        <w:trPr>
          <w:trHeight w:val="870"/>
        </w:trPr>
        <w:tc>
          <w:tcPr>
            <w:tcW w:w="3374" w:type="dxa"/>
          </w:tcPr>
          <w:p>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Найменування </w:t>
            </w:r>
          </w:p>
        </w:tc>
        <w:tc>
          <w:tcPr>
            <w:tcW w:w="12049" w:type="dxa"/>
          </w:tcPr>
          <w:p>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Інформація </w:t>
            </w:r>
          </w:p>
        </w:tc>
      </w:tr>
      <w:tr>
        <w:trPr>
          <w:trHeight w:val="870"/>
        </w:trPr>
        <w:tc>
          <w:tcPr>
            <w:tcW w:w="3374"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назва угоди</w:t>
            </w:r>
          </w:p>
          <w:p>
            <w:pPr>
              <w:rPr>
                <w:rFonts w:ascii="Times New Roman" w:hAnsi="Times New Roman" w:cs="Times New Roman"/>
                <w:color w:val="000000" w:themeColor="text1"/>
                <w:sz w:val="28"/>
                <w:szCs w:val="28"/>
              </w:rPr>
            </w:pPr>
          </w:p>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номер </w:t>
            </w:r>
          </w:p>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дата укладення</w:t>
            </w:r>
          </w:p>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найменування сторін</w:t>
            </w:r>
          </w:p>
        </w:tc>
        <w:tc>
          <w:tcPr>
            <w:tcW w:w="12049" w:type="dxa"/>
          </w:tcPr>
          <w:p>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Угода про розподіл вуглеводнів, які видобуватимуться у межах ділянки Бузівська</w:t>
            </w:r>
            <w:bookmarkStart w:id="0" w:name="_GoBack"/>
            <w:bookmarkEnd w:id="0"/>
            <w:r>
              <w:rPr>
                <w:rFonts w:ascii="Times New Roman" w:hAnsi="Times New Roman" w:cs="Times New Roman"/>
                <w:color w:val="000000" w:themeColor="text1"/>
                <w:sz w:val="28"/>
                <w:szCs w:val="28"/>
              </w:rPr>
              <w:t xml:space="preserve"> (далі за текстом – Угода)</w:t>
            </w:r>
          </w:p>
          <w:p>
            <w:pPr>
              <w:rPr>
                <w:rFonts w:ascii="Times New Roman" w:hAnsi="Times New Roman" w:cs="Times New Roman"/>
                <w:color w:val="000000" w:themeColor="text1"/>
                <w:sz w:val="28"/>
                <w:szCs w:val="28"/>
              </w:rPr>
            </w:pPr>
          </w:p>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б/н</w:t>
            </w:r>
          </w:p>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31.12.2020</w:t>
            </w:r>
          </w:p>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Держава Україна (далі за текстом –Держава) та Акціонерне товариство «Укргазвидобування» (далі за текстом – Інвестор)</w:t>
            </w:r>
          </w:p>
        </w:tc>
      </w:tr>
      <w:tr>
        <w:trPr>
          <w:trHeight w:val="870"/>
        </w:trPr>
        <w:tc>
          <w:tcPr>
            <w:tcW w:w="3374" w:type="dxa"/>
          </w:tcPr>
          <w:p>
            <w:pPr>
              <w:shd w:val="clear" w:color="auto" w:fill="FFFFFF"/>
              <w:spacing w:after="100" w:afterAutospacing="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дата набрання чинності </w:t>
            </w:r>
          </w:p>
          <w:p>
            <w:pPr>
              <w:shd w:val="clear" w:color="auto" w:fill="FFFFFF"/>
              <w:spacing w:after="100" w:afterAutospacing="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строк дії угоди;</w:t>
            </w:r>
          </w:p>
        </w:tc>
        <w:tc>
          <w:tcPr>
            <w:tcW w:w="12049" w:type="dxa"/>
          </w:tcPr>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31.12.2020 </w:t>
            </w:r>
          </w:p>
          <w:p>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50 років </w:t>
            </w:r>
            <w:r>
              <w:rPr>
                <w:rFonts w:ascii="Times New Roman" w:hAnsi="Times New Roman" w:cs="Times New Roman"/>
                <w:sz w:val="28"/>
                <w:szCs w:val="28"/>
              </w:rPr>
              <w:t xml:space="preserve">з </w:t>
            </w:r>
            <w:r>
              <w:rPr>
                <w:rFonts w:ascii="Times New Roman" w:hAnsi="Times New Roman" w:cs="Times New Roman"/>
                <w:sz w:val="28"/>
                <w:szCs w:val="28"/>
                <w:lang w:val="ru-RU"/>
              </w:rPr>
              <w:t>д</w:t>
            </w:r>
            <w:r>
              <w:rPr>
                <w:rFonts w:ascii="Times New Roman" w:hAnsi="Times New Roman" w:cs="Times New Roman"/>
                <w:sz w:val="28"/>
                <w:szCs w:val="28"/>
              </w:rPr>
              <w:t>ати набрання чинності</w:t>
            </w:r>
          </w:p>
        </w:tc>
      </w:tr>
      <w:tr>
        <w:trPr>
          <w:trHeight w:val="870"/>
        </w:trPr>
        <w:tc>
          <w:tcPr>
            <w:tcW w:w="3374" w:type="dxa"/>
          </w:tcPr>
          <w:p>
            <w:pPr>
              <w:shd w:val="clear" w:color="auto" w:fill="FFFFFF"/>
              <w:spacing w:after="100" w:afterAutospacing="1"/>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 угоди</w:t>
            </w:r>
          </w:p>
        </w:tc>
        <w:tc>
          <w:tcPr>
            <w:tcW w:w="12049" w:type="dxa"/>
          </w:tcPr>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Відповідно до Угоди Держава доручає Інвестору проводити пошук, розвідку та видобування Вуглеводнів в межах Договірної ділянки та виконувати всі роботи пов'язані з Угодою протягом Строку дії, та інші права надані Інвестору Угодою, але без обмеження, право продажу, реалізації Видобутих вуглеводнів, в тому числі Належної частки Держави у Прибуткових вуглеводнях в порядку та на умовах, визначених Угодою, а Інвестор зобов'язується виконувати такі роботи за свій власний рахунок та на свій власний ризик відповідно до умов Угоди з подальшим відшкодуванням його Компенсаційних витрат за рахунок Компенсаційних вуглеводнів, та отриманням винагороди у вигляді частини Прибуткових вуглеводнів.</w:t>
            </w:r>
          </w:p>
        </w:tc>
      </w:tr>
      <w:tr>
        <w:trPr>
          <w:trHeight w:val="870"/>
        </w:trPr>
        <w:tc>
          <w:tcPr>
            <w:tcW w:w="3374" w:type="dxa"/>
          </w:tcPr>
          <w:p>
            <w:pPr>
              <w:shd w:val="clear" w:color="auto" w:fill="FFFFFF"/>
              <w:spacing w:after="100" w:afterAutospacing="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права та обов’язки сторін щодо користування надрами, інші права на природні ресурси</w:t>
            </w:r>
          </w:p>
        </w:tc>
        <w:tc>
          <w:tcPr>
            <w:tcW w:w="12049" w:type="dxa"/>
          </w:tcPr>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Права та обов’язки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Інвестор відповідає за здійснення, управління, контроль та адміністрування Операцій з вуглеводнями та має право здійснювати Операції з вуглеводнями відповідно до положень Угоди, Законодавства України та Належної практики діяльності в нафтогазовій промисловості. При здійсненні Операцій з вуглеводнями Інвестор має право наймати будь-яких фізичних чи </w:t>
            </w:r>
            <w:r>
              <w:rPr>
                <w:rFonts w:ascii="Times New Roman" w:eastAsia="CIDFont+F1" w:hAnsi="Times New Roman" w:cs="Times New Roman"/>
                <w:color w:val="000000" w:themeColor="text1"/>
                <w:sz w:val="28"/>
                <w:szCs w:val="28"/>
              </w:rPr>
              <w:lastRenderedPageBreak/>
              <w:t>юридичних осіб, зокрема, ов’язаних осіб Інвестора, у якості Підрядників.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Для здійснення Операцій з вуглеводнями Інвестор, Підрядники та працівники, консультанти або агенти кожної із зазначених вище осіб, можуть отримати доступ до Договірної ділянки та до будь-яких Об'єктів, які розташовані в межах або поза межами Договірної ділянки, у порядку, визначеному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отримувати та продавати або будь-яким іншим чином вільно розпоряджатися своїми Належними частками в Видобутих вуглеводнях в Пунктах виміру після їх розподілу, таким чином, аби не перешкоджати Операціям з вуглеводнями та/або не створювати необхідність зберігання Видобутих вуглеводнів. Інвестор на свій власний розсуд та докладаючи всіх можливих зусиль має право вільновідчужувати свою Належну частку в Видобутих вуглеводнях третім особам або Пов'язаним особам, включаючи право вільно встановлювати ціну та інші умови, зберігати та/або транспортувати в будь-якій наявній системі транспортування, продавати Видобуті вуглеводні на будь-якому доступному ринку (зокрема, експортувати, без сплати жодних мит та/або експортних платежів, а також без квот та ліцензій та інших подібних обмежень, або будь-яких інших податків (окрім ПДВ, який застосовується за нульовою ставкою), в будь-який обґрунтований час або в будь-якій обґрунтованій доступній кількості.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З урахуванням положень </w:t>
            </w:r>
            <w:r>
              <w:rPr>
                <w:rFonts w:ascii="Times New Roman" w:eastAsia="CIDFont+F2" w:hAnsi="Times New Roman" w:cs="Times New Roman"/>
                <w:sz w:val="28"/>
                <w:szCs w:val="28"/>
              </w:rPr>
              <w:t xml:space="preserve">Додатку І до Угоди (далі - Процедура обліку) </w:t>
            </w:r>
            <w:r>
              <w:rPr>
                <w:rFonts w:ascii="Times New Roman" w:eastAsia="CIDFont+F1" w:hAnsi="Times New Roman" w:cs="Times New Roman"/>
                <w:color w:val="000000" w:themeColor="text1"/>
                <w:sz w:val="28"/>
                <w:szCs w:val="28"/>
              </w:rPr>
              <w:t>та Угоди з початку видобування на Договірній ділянці Інвестор має право на відшкодування всіх Компенсаційних витрат, які були понесені ним відповідно до Угоди, за рахунок вартості 68% Видобутих вуглеводнів за будь-який Календарний квартал, щовизначається відповідно до Розділу 25, до повного відшкодування витрат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Починаючи з Дати початку Інвестор, на власний розсуд з урахуванням потреб місцевих громад, може витрачати кошти на потреби соціального та промислового розвитку місцевих громад, у випадку отримання від них запитів та визнання доцільності 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Якщо Інвестор повідомляє Державному уповноваженому органу про те, що Інвестор досягнув показників комерційної доцільності, Інвестор може, на власний розсуд з урахуванням потреб місцевих громад, витрачати кошти на потреби соціального та промислового розвитку місцевих громад у випадку отримання від них запитів та визнання доцільності таких витрат Інвестором.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в результаті Операцій з вуглеводнями виділяється чи добувається Побічна продукція, Інвестор має право вільно розпоряджатися такою Побічною продукцією в межах України або За державним кордоном, а будь-які надходження від такого використання мають бути віднесені на Спільний обліковий рахунок та не зменшують розмір Компенсаційних витрат. Використання Побічної продукції є складовою Операцій з вуглеводнями. Така продукція не є Вуглеводнями. Витрати на отримання Побічної продукції визначаються у відповідному ПРБ та відносяться до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Компенсаційних витрат. Компенсаційні витрати, в частині витрат на отримання Побічної продукції, зменшуються на суму реалізованої Інвестором Побічної продукції.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безкоштовно використовувати Вуглеводні для Технологічних цілей в обсягах, визначених узгодженими ПРБ, та повинен намагатися мінімізувати таке використання, у кожному разі відповідно до Законодавства України та Належної практики діяльності в нафтогазовій промисловості.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випадку надзвичайних ситуацій, Інвестор має право подати запит, а Держава зобов’язана сприяти Інвестору у здійсненні заходів з ліквідації Надзвичайних ситуацій та їх наслідків та проведення ремонтних робіт.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право, серед іншого, використовувати на договірних умовах іноземних співробітників своїх Пов’язаних осіб, Інвестора або третіх осіб на підставі договорів підряду (надання персоналу) або на інших підставах, для участі в Операціях з вуглеводнями під контролем та керівництвом Інвестора, незважаючи на основне місце роботи таких осіб.</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Спалювати Природний газ способами найбільш безпечними для довкілля відповідно до Належної практики діяльності в нафтогазовій промисловості, якщо це обґрунтовано з економічних причин або необхідно в цілях забезпечення безпеки, або через нетипові експлуатаційні обставини або в надзвичайних ситуаціях.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Експортувати та вивозити за межі України Дані та інформацію, отримані при здійсненні Операцій з вуглеводнями, для їх аналізу Підрядниками, з урахуванням умов щодо повідомлення Державного уповноваженого органу щодо їх отримання та надання Державному інформаційному геологічному фонду, встановлених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Споруджувати, прокладати, користуватися, володіти на правах власності, утримувати та експлуатувати трубопроводи.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Без обмежень будь-яких інших прав, які може мати Інвестор відповідно до Законодавства України та/або положень Угоди, Інвестор має наступні права: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вільного та безоплатного доступу до та виїзду з Договірної ділянки та інших ділянок, які необхідні для здійснення Операцій з вуглеводнями, а також, за умови дотримання вимог Законодавства України, безперешкодного доступу до будь-яких Об’єктів, незалежно від місця їхнього розташування, в тому числі право на здійснення дій, що спрямовані на забезпечення безпеки Об’єктів в межах та поза межами Договірної ділянки;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використовувати та мати безперешкодний доступ до будь-яких об’єктів та/або інфраструктури загального користування, в тому числі, але не обмежуючись цим, комунікацій, доріг, залізниці, портів та аеропортів в межах Договірної ділянки та поза межами Договірної ділянки, для будівництва, встановлення, технічного обслуговування, експлуатації та демонтажу об’єктів для обробки, переробки, зберігання, транспортування, постачання та збуту Вуглеводнів, у тому числі внутрішніх трубопроводів, шлейфів та інших об’єктів, необхідних для здійснення Операцій з вуглеводнями, за умови сплати комісій, мита та інших платежів та зборів, сплата яких вимагається і всі з яких сплачуються на недискримінаційній основі, що вважатимуться Компенсаційними витратами, і відшкодовуються Інвестору відповідно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використовувати належні Державі земельні ділянки та об’єкти нерухомого майна, що на них розміщені, які необхідні для виконання Угоди, в порядку та на підставах, передбачених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(D) якщо це необхідно для ефективного здійснення Операції з вуглеводнями – право монтажу, будівництва, експлуатації та користування Об’єктами та обладнанням на Договірній ділянці та інших ділянках, які необхідні для здійснення Операцій з вуглеводнями, в тому числі телекомунікаційним обладнанням (в тому числі радіовежами та системами супутникового зв’язку) та іншим обладнанням, в тому числі, але не обмежуючись цим, дорогами, пішохідними доріжками, мостами, аеродромами, терміналами, житлом, складськими приміщеннями, збірними пунктами та обладнанням для сепарації та обробки на умовах, визначених Законодавством України. Інвестор має право обирати місце розміщення, будувати та здійснювати монтаж Об’єктів, необхідних для ведення Операцій з вуглеводнями на підставі отриманих Дозволів.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Інвестор дозволятиме загальне користування автошляхами, які будуть збудовані та утримуватимуться ним, окрім тих шляхів, які Інвестор оголосить шляхами призначеними для виключного приватного використання ним відповідно до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використовувати інфраструктуру загального користування, яка є в наявності на території України, в тому числі засоби зв’язку, автомобільні дороги та залізницю та порти та аеропорти, за умови сплати передбачених платежів та зборів, які зазвичай сплачуються згідно із Законодавством України; (G) використовувати електроенергію, що є доступною в межах та поза межами Договірної ділянки,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використовувати кваліфікований іноземний та місцевий, у тому числі власний, персонал та/або Підрядників, необхідних для здійснення Операцій з вуглеводнями, яким гарантується право безперешкодного доступу до Договірної ділянки та Об’єктів в обсягу, визначеному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(I) проводити закупівлі та залучати Підрядників для закупівлі товарів, робіт та послуг, які необхідні для здійснення Операції з вуглеводнями, відповідно до стандартів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використовувати пісок, камінь, воду, у тому числі ґрунтову воду, питну та непридатну для пиття, воду комунального використання, пластову воду багаторазового використання та будь-які інші природні ресурси для здійснення Операцій з вуглеводнями (на підставі відповідних Дозволів, якщо такі вимагаються), що знаходяться в межах та поза межами Договірної ділянки,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здійснювати гідророзрив пласта;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(L) володіти, користуватися ділянками надр або земельними ділянками в міру необхідності, як в межах, так само і поза межами Договірної ділянки, з метою ефективного здійснення Операцій з вуглеводнями у відповідності до Законодавства України та Угоди для чого Держава, впродовж строку Угоди, на запит Інвестора, у межах своїх повноважень та у порядку, що встановлений законодавством, вчиняє дії щодо набуття Інвестором прав користування земельними ділянками для цілей виконання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мати у власності, користуватися або придбавати та відчужувати Майно та Активи;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(N) реалізувати Майно на території Держави;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ввозити, зберігати, використовувати та вивозити за межі Держави Майно, яке необхідне для виконання Операцій з вуглеводнями, без сплати жодних митних платежів, без квот, ліцензування та інших подібних обмежень, зборів або будь-яких інших Податків, якими оподатковується їх ввезення, окрім ПДВ, який застосовується за нульовою ставкою;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мати доступ та безкоштовно користуватися, в тому числі вільно експортувати, будь-які геологічні дані та інформацію щодо Договірної ділянки, в тому числі Дані та інформацію щодо договірної Ділянки, одержані Інвестором в ході здійснення Операцій з вуглеводнями (в тому числі геологічні, геофізичні, геохімічні та інші дані, а також зразки геологічних матеріалів), окрім цього, впродовж строку Угоди, Інвестор має право звернутися до центрального органу виконавчої влади, що реалізує державну політику у сфері геологічного вивчення та раціонального використання надр,</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за отриманням первинної та/або вторинної геологічної інформації. Держава забезпечує надання такої первинної та/або вторинної геологічної інформації, що знаходиться у власності Держави, впродовж 10 календарних днів після отримання відповідного звернення Інвестора та оплати Інвестором вартості такої геологічної інформації, якщо така оплата вимагається законодавством України. Розмір оплати вартості геологічної інформації обчислюється відповідно до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отримання віз, дозволів на працевлаштування та посвідок на проживання для іноземних працівників та іншого іноземного персоналу, чиї послуги, виключно на розсуд Інвестора, необхідні для виконання Операцій з вуглеводнями та дозволів на багаторазовий в’їзд, виїзд та посвідок на проживання для їх утриманців;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(R) настільки, наскільки це є необхідним для ефективного здійснення Операційз вуглеводнями, право на монтаж, експлуатацію, користування та вільне переміщення Майна на території Держави (незалежно від того чи таке Майно ввезене на територію Держави або придбане на її території);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(S) відкривати, мати та користуватися банківськими рахунками в українських банках в національній та/або іноземній вільноконвертованій валюті та в іноземних банках з метою обслуговування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вільно конвертувати (без жодних обмежень) отримані грошові кошти в українську або іноземну валюту та переказувати грошові кошти в Україну та з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у разі надзвичайної ситуації, здійснювати будь-яку діяльність та здійснювати негайні витрати які є необхідними для охорони здоров’я, життя, Навколишнього природного середовища та Майна, як передбачено в Угоді;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подавати всі необхідні програми та звіти стосовно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вести належний облік, журнали та звіти щодо Операцій з вуглеводнями, 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тому числі журнали бухгалтерського обліку;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брати на роботу громадян Держави та забезпечувати навчання персоналу;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фінансувати, на свій розсуд, проекти соціальних інвестицій;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(Z) виключне право здійснювати Операції з вуглеводнями на Договірній ділянці та видобувати Вуглеводні;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(AA) право відступати повністю або частково свої права та зобов'язання за Угодою третій особі або будь-якій іншій Особі, в тому числі Пов'язаній особі за умови виконання положень Законодавства України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(BB) право припинити дію Угоди у відповідності до її умов;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(CC) всі такі інші права, які має Інвестор за Угодою та згідно із Законодавством України. 15.1.15 Додатково до вищезазначеного Інвестор має право, у тому числі, але не виключно: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доступу до здійснення діяльності в межах Договірної ділянки, а також будь- яких об'єктів, пов'язаних з Операціями з вуглеводнями, незалежно від місця їхнього розташування, в тому числі право на здійснення дій, що спрямовані на забезпечення безпеки Об'єктів в межах та поза межами Договірної ділянки;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використовувати кваліфікований іноземний та місцевий, у тому числі власний персонал та/або Підрядників, необхідних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ввозити на митну територію або вивозити з митної території України будь- які Обладнання та матеріали або Послуги, необхідні для здійснення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використовувати належні Державі земельні ділянки та об'єкти нерухомого майна, що на них розміщені, які необхідні для виконання  Угоди, в порядку та на підставах, передбачених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отримувати, використовувати та вивозити з території України будь-які Дані та Інформацію, отриману з Договірної ділянки, з метою здійснення діяльності за Угодою на умовах, визначених Законодавством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отримувати права на нафтогазові свердловини, які належать третім особам, необхідні для виконання Угоди за сприяння Держави, в межах її повноважень.</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(G) отримувати необхідні дозволи, зокрема Держава забезпечує надання Інвестору та сприяє наданню його підрядним, субпідрядним та іншим організаціям (особам), а також представництвам іноземних підрядних, субпідрядних та інших організацій (осіб) всіх Дозволів, окрім Спеціального Дозволу, впродовж Строку Угоди. Перелічені особи звертаються за наданням відповідного Дозволу у порядку, встановленому Законодавством України, для цілей Угоди. Права Інвестора, застосовуються до кожного Підрядника, в тій мірі, в якій це необхідно аби надати силу правам, які надаються Інвестору за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Обов’язки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здійснює всі Операції з вуглеводнями відповідно до положень Угоди, Законодавства України та Належної практики діяльності в нафтогазовій промисловості, застосовуючи стандарти та практики, у тому числі згідно додатку H.</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Відповідно до Розділу 26, Інвестор повинен повідомляти Державний уповноважений орган стосовно кожного Календарного кварталу про кількість Видобутих вуглеводнів, наявних для розподілу та розпорядження, кількість Видобутих вуглеводнів, які знаходяться в сховищах (за наявності) або які знаходяться на зберіганні, та кількість Видобутих вуглеводнів, що були передані (розподілені) Сторонам в Пункті (Пунктах) виміру. На окремий запит Державного уповноваженого органу Інвестор надає всю інформацію, що вимагається для визначення вартості Видобутих вуглеводнів відповідно до Розділу 26, як передбачено Процедурою обліку.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Виконувати свої обов’язки, які випливають у зв’язку з проведенням перевірок у порядку, встановленому розділом 9 Угоди. Інвестор не несе відповідальності за будь-яку шкоду майну, здоров’ю людей та/або Навколишньому природному середовищу, спричинену у результаті недотримання уповноваженими представниками Держави правил та стандартів Інвестора під час перебування на Договірній ділянці та/або будь-якого Об’єкта. Усі витрати, пов’язані з таким використанням Об’єктів Інвестора відносяться до Компенсаційних витрат.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здійснює заходи з охорони здоров'я, Навколишнього природного середовища, забезпечення гігієни та безпеки свого персоналу, який здійснює Операції з вуглеводнями, відповідно до Законодавства України та Належної практики діяльності в нафтогазовій промисловості. Витрати, понесені Інвестором при реалізації таких заходів вважаються Компенсаційними витратами та відшкодовуються відповідно до положень Розділу 25.</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зобов'язаний забезпечити, щоб ані він, ані його Пов'язані особи та працівники не здійснювали, не пропонували та не дозволяли по відношенню до питань, які є предметом Угоди, будь-якого платежу, подарунку, обіцянки або іншої вигоди, як прямо, так і через будь-яку іншу фізичну або юридичну особу, будь-якому державному службовцю (тобто будь-якій особі, яка обіймає посаду у будь-якому державному органі - законодавчому, виконавчому або судовому, на державному підприємстві або діє від їхнього імені) або будь-якій політичній партії або посадовій особі політичної партії або кандидату на посаду, або для використання ними або на їхню користь, коли такий платіж, подарунок, обіцянка або вигода порушили б (i) чинне Законодавство України; (ii) законодавство країни, в якій створена така Сторона абоматеринська компанія такої Сторони або в якій знаходиться основне місце ведення господарської діяльності такої материнської компанії; або (iii) Законодавство про боротьбу з корупцією (разом - "Ключове Законодавство") у тій мірі, в якій Ключове Законодавство застосовуються до такої Сторони або материнської компанії такої Сторони. Кожна Сторона зобов'язана захищати та убезпечувати інші Сторони від будь- яких позовів, та відшкодовувати іншим Сторонам будь-які збитки, штрафи, витрати та видатки, які виникають через або пов'язані із будь-яким порушенням такою першою Стороною своїх зобов'язань за Розділом 15.2.5. Угоди. Таке зобов'язання щодо відшкодування зберігає силу після припинення дії або закінчення терміну дії Угоди. Кожна Сторона зобов'язана своєчасно (i) надавати відповідь на будь-яке повідомлення від будь-якої іншої Сторони, яке обґрунтовано пов'язане із виконанням вищезазначених зобов'язань Інвестора, та (ii) надавати відповідну документальну підтримку для такої відповіді на запит від такої іншої Сторони.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вживає всіх необхідних заходів і одразу надає повідомлення Державі про Надзвичайну ситуацію або інші події (в тому числі вибухи, витікання або розливи), що сталися у зв’язку з Операціями з вуглеводнями і які спричинили або, виходячи з</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наявної обґрунтованої інформації, можуть спричинити виникнення значного ризику для довкілля або значного ризику для здоров'я чи безпеки людини, що потребуватиме Виправлення відповідно до Законодавства про довкілля та Належної практики діяльності в нафтогазовій промисловості в аналогічному фізичному або екологічному середовищі. Таке повідомлення має включати стислий опис обставин Надзвичайної ситуації та заходів, що вживаються або вжиття яких планується Інвестором для отримання контролю над ситуацією та вжиття обґрунтованих заходів, необхідних для ліквідації її наслідків. Інвестор надає такі додаткові звіти Державі, які можуть бути розумно необхідними у зв’язку з наслідками таких подій, і стосовно плану дій, які вживаються для подолання ситуації, виходячи з обґрунтовано наявної інформації, а також для мінімізації будь-яких істотних наслідків. У випадку Надзвичайних ситуацій на запит Інвестора Держава сприятиме Інвестору у здійсненні заходів з ліквідації Надзвичайних ситуацій та їх наслідків та проведення ремонтних робіт. Інвестор щорічно декларує наступні характеристики видобутку по відношенню до попереднього Календарного року: фактичний обсяг видобутку, параметри видобутку, параметри якості Видобутих вуглеводнів в межах Договірної ділянки. Зазначена декларація подається Інвестором до Державного уповноваженого органу в інформаційних цілях.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Окрім того, з урахуванням інших умов Угоди, Інвестор зобов'язаний: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здійснювати пошук, оцінку та видобуток Вуглеводнів, а також виконувати будь-які інші роботи, передбачені Угодою відповідно до узгоджених Сторонами ПРБ на Договірній ділянці;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здійснювати інвестиції у розмірі не меншому, ніж Зобов'язання з геологічного вивчення, якщо інше не встановлено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повертати у порядку, визначеному Угодою, частини Договірної ділянки;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(D) подавати Державному інформаційному геологічному фонду Дані та інформацію, отримані під час виконання відповідних робіт;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дотримуватися вимог Законодавства України, зокрема про працю, надра та Довкілля, виконувати взяті на себе зобов'язання за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забезпечувати доставку Видобутих вуглеводнів до Пункту виміру та здійснювати розподіл Видобутих вуглеводнів на Компенсаційні вуглеводні та Прибуткові вуглеводні;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(G) відповідно до Угоди та вимог Законодавства України виконувати будь- які необхідні обов'язки, пов'язані з оподаткуванням;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готувати та подавати до Державного уповноваженого органу Пропозиції, які мають бути проаналізовані та розглянуті Державним уповноваженим органом відповідно до умов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(I) подавати щорічно звіти про хід виконання 5-річної Програми Робіт та Бюджету; надавати звіти, що запитуються Державним уповноваженим органом відповідно до Угоди про Операції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у випадках Надзвичайних ситуацій, негайно повідомляти інші Сторони про їх виникнення, вживати таких заходів та здійснювати такі негайні витрати, які необхідні для охорони здоров'я, життя, Довкілля та майна, вживати заходів, які розумно необхідні для усунення наслідків надзвичайних ситуацій, та звітувати Державному уповноваженому органу про всі такі вжиті заходи та понесені витрати;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вести Спільний обліковий рахунок стосовно Операцій з вуглеводнями відповідно до Угоди, Процедури обліку та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(L) проводити аудит Звітності спеціального призначення відповідно до Розділу14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надавати перевагу використанню Послуг та Обладнання та матеріалів українського походження за рівних умов стосовно ціни, якості, кількості, специфікації, умов купівлі, строків доставки, операційних параметрів, відповідності міжнародним стандартам та інших комерційних і технічних умов;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(N) наймати та здійснювати підготовку персоналу для здійснення Операцій з вуглеводнями переважно з числа громадян України, з урахуванням відповідних зобов'язань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забезпечувати відповідальне зберігання Вуглеводнів до моменту їх розподілу між Сторонами Угоди на умовах  Угоди; доставляти Видобуті Вуглеводні до Пункту виміру або належним чином зберігати їх (в разі наявності такої можливості та відповідно до інших положень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якщо інше не передбачено Угодою, надавати Державі достатній доступ до повної інформації, яка стосується всієї діяльності Інвестора, що провадиться за  Угодою, включаючи Конфіденційну інформацію (відповідно до умов окремих договорів про її нерозголошення та відповідальності за її розголошення), на їх письмові запити та у порядку нормальної роботи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здійснювати Операції з вуглеводнями відповідно до узгоджених Програм робіт та Бюджетів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(R) вести та здійснювати нагляд за Операціями з вуглеводнями обачно, безпечно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та ефективно, відповідно до (i) Законодавства України, (ii) стандартів Інвестора; а, увипадку якщо стандарти Інвестора не містять відповідних положень, тоді: (iii) Належної практики діяльності в нафтогазовій галузі;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(S) дотримуватись правил розробки нафтових і газових родовищ, встановлених стандартів, норм і правил щодо повноти геологічного вивчення, раціонального, комплексного використання та охорони нафтогазоносних надр, охорони праці, експлуатації об'єктів підвищеної небезпеки, а також інших вимог, встановлених Законодавством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приводити земельні ділянки, порушені при користуванні надрами, в стан, придатний для подальшого їх використання у суспільному виробництві;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виконувати всі технічні вимоги затвердженого Інвестором проекту (схеми) розробки родовища і комплексного проекту його облаштування;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фінансувати Операції з вуглеводнями відповідно до узгоджених Програм робіт і бюджетів та відповідно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надавати Державі Дані та інформацію, яка одержана в результаті Операцій з вуглеводнями, в порядку та із додержанням положень щодо конфіденційності, що передбачені в Угоді;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забезпечити розкриття та поширення інформації визначеної Законом України «Про забезпечення прозорості у видобувних галузях» з метою забезпечення прозорості та запобігання корупції у видобувних галузях в Україні.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виконувати інші обов'язки, передбачені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15.2.8. Без обмеження прав та засобів правового захисту Інвестора згідно із Угодою, якщо Інвестор не має змоги виконувати повністю або частково зобов'язання Інвестора за будь-якою узгодженою Програмою робіт або Угодою внаслідок невиконання Державою або Державним уповноваженим органом своїх зобов'язань за Угодою, в такому разі етап або період, на який було затримано виконання зобов'язань, буде продовжений на такий період, який є необхідним аби надати можливість Державі або Державному уповноваженому органу (залежно від обставин) виконати свої зобов'язання та надати можливість Інвестору виконати такі зобов'язання, однак за умови, що Інвестор:</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повідомив Державу або Державний уповноважений орган про невиконання зобов'язань та дав Державі або Державному уповноваженому органу строк, тривалістю до 180 (ста восьмидесяти) днів, на усунення такого невиконання,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доклав усіх належних зусиль для виконання зобов'язань, виконання яких затримується і повідомив КМУ про таку неспроможність Держави або Державного уповноваженого органу, в залежності від випадку, без затримок після того, як про таку неспроможність стало відомо Інвестору.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Окрім цього Інвестор має право на компенсацію усіх збитків, яких було завдано внаслідок такої затримки. У випадку будь-яких спорів між Сторонами або будь-якими з них щодо компенсації збитків відповідно до Розділу 15, Сторони повинні врегулювати такий спір відповідно до Розділу 39 Угоди.</w:t>
            </w:r>
          </w:p>
          <w:p>
            <w:pPr>
              <w:autoSpaceDE w:val="0"/>
              <w:autoSpaceDN w:val="0"/>
              <w:adjustRightInd w:val="0"/>
              <w:spacing w:after="0" w:line="240" w:lineRule="auto"/>
              <w:jc w:val="both"/>
              <w:rPr>
                <w:rFonts w:ascii="Times New Roman" w:eastAsia="CIDFont+F1" w:hAnsi="Times New Roman" w:cs="Times New Roman"/>
                <w:b/>
                <w:color w:val="000000" w:themeColor="text1"/>
                <w:sz w:val="28"/>
                <w:szCs w:val="28"/>
              </w:rPr>
            </w:pPr>
            <w:r>
              <w:rPr>
                <w:rFonts w:ascii="Times New Roman" w:eastAsia="CIDFont+F1" w:hAnsi="Times New Roman" w:cs="Times New Roman"/>
                <w:b/>
                <w:color w:val="000000" w:themeColor="text1"/>
                <w:sz w:val="28"/>
                <w:szCs w:val="28"/>
              </w:rPr>
              <w:t xml:space="preserve">Права та обов’язки держави.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має наступні права: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Належну частку Держави у Прибуткових вуглеводнях або її грошовий еквівалент згідно з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здійснювати нагляд та контроль за виконанням Угоди, зокрема, шляхом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отримання необхідної інформації, отриманої в результаті здійснення Операцій з вуглеводнями, в тому числі Конфіденційної інформації, за допомогою надсилання письмових запитів Інвестору. Отримання, доступ до, ознайомлення та розпорядженнятакою Конфіденційною інформацією може проводились лише з урахуванням вимог та положень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робити запити Інвестору для відслідковування виконання Угоди, а також ініціювати інспекційне відвідання об’єктів, де проводяться роботи, згідно з Програмою робіт лише у порядку та на умовах, які передбачені в Порядку про проведення перевірок. Інспекційне відвідання не є перевіркою в розумінні Угоди чи законодавства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проводити один раз на 5 (п’ять) Календарних років комплексну перевірку у порядку, передбаченому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у власність Активи, створені та/або придбані Інвестором для цілей виконання Угоди, відповідно до Розділу 20;</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отримувати Дані та інформацію щодо Договірної ділянки, зібрані або отримані Інвестором у ході здійснення Операцій з вуглеводнями, з урахуванням Розділу 35;</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інші права, передбачені Угодою та Законодавством України.</w:t>
            </w:r>
          </w:p>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ОБОВ'ЯЗКИ ДЕРЖАВИ.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Відповідно до умов Угоди та Законодавства України, Держава зобов’язується сприяти Інвестору та його Підрядникам при здійсненні Операцій з вуглеводнями та повинна утримуватися від дій, що можуть завадити, ускладнити або затримати або в інший спосіб порушити ефективне її здійснення. Для уникнення сумнівів, жодне з положень Розділу не обмежує право Держави виконувати свої суверенні обов’язки та реалізовувати свої суверенні права, що включає вжиття будь- яких заходів в надзвичайних ситуаціях, а також з метою захисту довкілля та здоров’я 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безпеки людей.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зобов’язана: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забезпечити надання в установленому порядку Інвестору, та сприяти у наданні Підрядникам, будь-яких Дозволів, необхідних для здійснення Операцій з вуглеводнями або у зв’язку із ними , за умови звернення Інвестора за такими дозволами відповідно до Законодавства України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забезпечити надання в установленому порядку Інвестору та сприяти у наданні Підрядникам Дозволів стосовно питань, пов’язаних з митним оформленням та з ввезенням на митну територію України та вивезенням За державний кордон Видобутих вуглеводнів, Обладнання та матеріалів, Послуг та Майна на виконання Угоди у встановленому порядку;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забезпечити надання в установленому порядку Інвестору дозволів на працевлаштування, службових карток, а також будь-яких інших Дозволів для іноземного персоналу Інвестора, який може найматись Інвестором в Україні протягом строку виконання Угоди; сприяти у наданні Інвестору віз, дозволів на тимчасове проживання для іноземного персоналу та сприяти Підрядникам у надані дозволів на працевлаштування, службових карток, віз і дозволів на тимчасове проживання для іноземного персоналу на підставі звернення Підрядників із доданням листів підтримки від Інвестора;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забезпечити надання Інвестору необхідних Дозволів для відправлення За державний кордон документів, будь-яких Даних та інформації, інших даних або зразків для аналізу чи опрацювання для цілей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сприяти у координації відносин з органами виконавчої влади та органами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місцевого самоврядування, в тому числі в цілях решти положень Розділу 18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утримуватися від здійснення будь-яких дій, які призвели б до дій або бездіяльності будь-якого Державного органу, які окремо або разом з іншими діями або бездіяльністю, перешкоджає або заважає здійсненню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(G) відповідно до Угоди забезпечити Інвестору вільний та безкоштовний в’їзд на Договірну ділянку та виїзд з неї;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(H) сприяти Інвестору у реалізації права оренди (викупу) на існуючих на Договірній ділянці свердловин, що перебувають у власності Держави та/або юридичних осіб, частка в статутних капіталах яких прямо або опосередковано належить Держав;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(I) протягом строку дії Угоди, на запит Інвестора, у межах повноважень сприяти йому в отриманні ним прав на нафтогазові свердловини, які належать третім особам, необхідні для виконання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(J) забезпечити Інвестору доступ до систем водопостачання, необхідних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Інвестору для здійснення Операцій з вуглеводнями на недискримінаційних умовах;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(K) забезпечити надання в установленому порядку Інвестору та сприяння у наданні Підрядникам необхідних Дозволів у сфері охорони Довкілля;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(L) забезпечити надання в установленому порядку Інвестору та сприяння унаданні Підрядникам будь-яких інших Дозволів, які вимагаються у зв’язку з Операціями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(M) забезпечити отримання Інвестором існуючих даних та інформації стосовно Договірної ділянки, які знаходяться у власності Держави;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(N) забезпечити громадську безпеку, національну безпеку, та вживати погоджених з Інвестором та обґрунтованих заходів з метою (і) запобігання будь-якій діяльності на території Договірної ділянки, яка б неналежним чином або необґрунтовано заважала, перешкоджала або затримувала здійснення Операцій з вуглеводнями та (іі) підтримувати безпеку ведення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(O) забезпечити передачу та/або надати доступ Інвестору до земельних ділянок, які перебувають у власності Держави та сприяти у реалізації права Інвестора на передачу та/або надання доступу щодо земельних ділянок, які перебувають у власності та/або користуванні юридичних осіб, частка в статутних капіталах яких прямо або опосередковано належить Державі;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(P) забезпечити Інвестора доступом до земельних ділянок, зокрема щодо зміни цільового призначення таких земельних ділянок, які є необхідними для здійснення Операцій з вуглеводнями, відповідно до Розділу 15 та Розділу 16, в тій мірі, в якій цього вимагає Інвестор, та відповідно до Угоди; а також прийняти від Інвестора земельні ділянки, від яких Інвестор відмовився, у тому стані, в якому їх передає Інвестор, за умови виконання Інвестором зобов'язань, передбачених Розділами 36.2 та 36.3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(Q) сприяти Інвестору у своєчасній реєстрації / знятті з реєстрації, взятті на облік та зняттю з податкового обліку, а також внесення змін до інформації, що стосується реєстрації та обліку за Угодою, для цілей оподаткування та сплати внеску на загальнообов’язкове державне соціальне страхування відповідно до Законодавства України та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(R) забезпечити Інвестору можливість подання податкової звітності за Угодою, зокрема шляхом затвердження форм відповідних податкових декларацій відповідно до Розділу 31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(S) забезпечити, в межах повноважень, вдосконалення Законодавства України, аби надати Інвестору можливість реалізувати право на бюджетне відшкодування з ПДВ та визнання податкового кредиту та Податкових витрат в порядку, передбаченому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(T) сприяти прийняттю Національним банком України необхідних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підзаконних нормативно-правових актів, що дозволяють Інвестору реалізувати пільги у сфері валютного регулювання, передбачені для угод про розподіл продукції угодою та нормативно-правовими актами України, у тому числі щодо режиму банківських рахунків для виконання угод про розподіл продукції;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(U) забезпечити дотримання прав Інвестора, передбачених положеннями банківського, фінансового, податкового, митного та валютного Законодавства України та Угодою (зокрема права на вільне придбання іноземної валюти);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(V) здійснювати бюджетне відшкодування ПДВ у загальному порядку відповідно до Розділу 31.</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(W) здійснювати зарахування Простроченого грошового зобов’язання згідно з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(X) забезпечити Інвестору отримання доступу до систем транспортування та зберігання Вуглеводнів відповідно до Законодавства України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(Y) забезпечити Інвестору доступ до ГТС відповідно до Законодавства України та на недискримінаційних засадах;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(Z) забезпечити надання Інвестору доступу та/або продати Інвестору геологічну інформацію, яка знаходиться у власності Держави та сприяти реалізації права Інвестора щодо отримання доступу до та/або придбання геологічної інформації, яка знаходиться у власності та/або користуванні юридичних осіб, частка в статутних капіталах яких прямо або опосередковано належить Державі;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(AA) Держава зобов’язується, в межах повноважень, забезпечити внесення змін до чинного законодавства України, що необхідні для належного виконання УРП, змін, що забезпечать реалізацію преференцій (особливого режиму), що встановлений чинним на дату укладання УРП законодавством, в тому числі щодо: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законодавчо врегулювати, в тому числі шляхом внесення змін до Податкового Кодексу України і, відповідно, забезпечити набуття чинності таких змін, питання щодо недопущення подвійного оподаткування податком на прибуток підприємств доходів Інвестора, отриманих у зв’язку зіздійсненням Операцій з вуглеводнями (в тому числі доходів від продажу Видобутих вуглеводнів, набутими у власність Інвестора внаслідок розподілу Видобутих вуглеводнів);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законодавчо врегулювати, в тому числі шляхом внесення змін до Податкового кодексу України і, відповідно, забезпечити набуття чинності таких змін, неузгодженості щодо справляння рентної плати за користування надрами для видобування корисних копалин шляхом належного уточнення, що для цілей визначення сум рентної плати за користування надрами для видобування корисних копалин на умовах угод про розподіл продукції використовуються ціни, розраховані за формулами визначення вартості вуглеводнів, що встановленні в таких угодах;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сприяти прийняттю змін до підзаконних актів НБУ у сфері валютного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регулювання, які відповідають Розділу IV Закону про УРП;</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Держава не виконає, неналежно виконає такий свій обов’язок, внаслідок чого Інвестор понесе збитки, наприклад, у вигляді сплачених ним відповідних штрафів, пені, донарахування податкових зобов’язань з податку на прибуток, рентної плати за користування надрами, то такі збитки мають бути відшкодовані Державою Інвестору в повному обсязі. Сторони погоджуються, що відшкодування таких збитків здійснюється Компенсаційними вуглеводнями, для чого Інвестор зараховує суму таких збитків до складу Компенсаційних витрат.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(BB) Якщо внаслідок неналежного виконання Державою свого обов’язку Інвестор не зможе вчасно та у належному обсязі виконати свої зобов’язання за Угодою, строк виконання такого зобов’язання Інвестора подовжується на період затримки плюс строк, потрібний для усунення наслідків затримки робіт та наслідків неналежного виконання Державою свого обов’язку;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(CC) сприяти Інвестору у вдосконаленні Законодавства України з питань, що стосуються виконання Угоди, враховуючи пропозиції Інвестора та Належну практику діяльності в нафтогазовій промисловості;</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(DD) виконувати інші обов’язки за Угодою та Законодавством України.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 Держава гарантує, що Дозволи видаватимуться без проведення конкурсу або аукціону і, якщо в Угоді не передбачено інше, з Інвестора не стягуватиметься плата за прийняття, видачу, надання, зміну, переоформлення або збереження в силі Дозволів, окрім сплати державних зборів за надання послуг або здійснення відповідних дій дозвільними органами. Будь-які такі платежі або збори нараховуватимуться на прозорих та недискримінаційних підставах та є Компенсаційними витратами.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сприяє Інвестору, Підрядникам у вирішенні питань, передбачених Угодою, щодо яких Інвестор може обґрунтовано звертатись за сприянням з метою здійснення Операцій з вуглеводнями, в тому числі, щодо:</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отримання прав власності чи користування на земельні ділянки або відведення земельних ділянок (як більш детально описано в Розділі 16), або прав користування або оренди будівель, споруд та інженерних мереж (в тому числі, води, газу, електроенергії) та зберігання вантажів, обладнання, матеріалів та запасних частин;</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у випадку надзвичайної ситуації, надавати будь-яку та всю допомогу, яка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може знадобитися для допомоги Інвестору для усунення такої надзвичайної ситуації, в тому числі одержання, в терміновому порядку, будь-яких Дозволів, що необхідні (а) аби надати можливість Інвестору ввезти на територію Держави Майно та персонал та (b)</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дозволити медичну евакуацію персоналу;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таких інших питань, з яких Інвестор може обґрунтовано звертатися по допомогу з метою надання сили умовам Угоди, діяльності, яка має здійснюватися за Угодою та правам, які надаються Інвестору, і для здійснення Операцій звуглеводнями.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здійснить усі необхідні дії, в тому числі підписання документів, що необхідні для забезпечення, щоб Інвестор мав право отримати Належну частку у Компенсаційних вуглеводнях та Прибуткових вуглеводнях відповідно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Інвестор не отримає відшкодування ПДВ грошовими коштами в повному обсязі в строки, коли таке відшкодування ПДВ повинно було бути перераховане на його банківський рахунок відповідно до Розділу 31.1(F), така сума невідшкодованого ПДВ, в тому числі пеня, нарахована відповідно до Розділу 31.1(F), вважатиметься простроченим грошовим зобов’язанням Держави перед Інвестором за Угодою (надалі – "Прострочене грошове зобов’язання"). У випадку, якщо Прострочене грошове зобов’язання не відшкодовано Інвестору до 30 грудня Календарного року, в якому воно виникло, Інвестор 31 грудня такого Календарного року зараховує (включає) всю суму Простроченого грошового зобов’язання в Компенсаційні витрати.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p>
        </w:tc>
      </w:tr>
      <w:tr>
        <w:trPr>
          <w:trHeight w:val="870"/>
        </w:trPr>
        <w:tc>
          <w:tcPr>
            <w:tcW w:w="3374" w:type="dxa"/>
          </w:tcPr>
          <w:p>
            <w:pPr>
              <w:pStyle w:val="rvps2"/>
              <w:shd w:val="clear" w:color="auto" w:fill="FFFFFF"/>
              <w:jc w:val="both"/>
              <w:rPr>
                <w:color w:val="000000" w:themeColor="text1"/>
                <w:sz w:val="28"/>
                <w:szCs w:val="28"/>
              </w:rPr>
            </w:pPr>
            <w:r>
              <w:rPr>
                <w:color w:val="000000" w:themeColor="text1"/>
                <w:sz w:val="28"/>
                <w:szCs w:val="28"/>
              </w:rPr>
              <w:lastRenderedPageBreak/>
              <w:t>гарантії щодо стабільності норм законодавства (за наявності);</w:t>
            </w:r>
          </w:p>
          <w:p>
            <w:pPr>
              <w:shd w:val="clear" w:color="auto" w:fill="FFFFFF"/>
              <w:spacing w:after="100" w:afterAutospacing="1"/>
              <w:jc w:val="both"/>
              <w:rPr>
                <w:rFonts w:ascii="Times New Roman" w:hAnsi="Times New Roman" w:cs="Times New Roman"/>
                <w:color w:val="000000" w:themeColor="text1"/>
                <w:sz w:val="28"/>
                <w:szCs w:val="28"/>
              </w:rPr>
            </w:pPr>
          </w:p>
        </w:tc>
        <w:tc>
          <w:tcPr>
            <w:tcW w:w="12049" w:type="dxa"/>
          </w:tcPr>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Держава гарантує, що до прав і обов'язків Інвестора, визначених Угодою, протягом строку її дії буде застосовуватися Законодавство України, чинне на момент укладання Угоди, крім законодавства, що зменшує розмір податків чи зборів чи скасовує їх, спрощує регулювання господарської діяльності щодо пошуку, розвідки та видобування корисних копалин, послаблює процедури державного нагляду (контролю) у сфері господарської діяльності, зокрема процедури митного, валютного, податкового та інших видів державного контролю, або пом'якшує відповідальність Інвестора, яке має застосовуватися з дати набрання чинності таким законодавством. Гарантії щодо стабільності норм Законодавства України не поширюються на зміни</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законодавства, що стосуються питань оборони, національної безпеки, забезпечення громадського порядку та охорони Навколишнього природного середовища.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p>
        </w:tc>
      </w:tr>
      <w:tr>
        <w:trPr>
          <w:trHeight w:val="870"/>
        </w:trPr>
        <w:tc>
          <w:tcPr>
            <w:tcW w:w="3374" w:type="dxa"/>
          </w:tcPr>
          <w:p>
            <w:pPr>
              <w:pStyle w:val="rvps2"/>
              <w:shd w:val="clear" w:color="auto" w:fill="FFFFFF"/>
              <w:rPr>
                <w:color w:val="000000" w:themeColor="text1"/>
                <w:sz w:val="28"/>
                <w:szCs w:val="28"/>
              </w:rPr>
            </w:pPr>
            <w:r>
              <w:rPr>
                <w:color w:val="000000" w:themeColor="text1"/>
                <w:sz w:val="28"/>
                <w:szCs w:val="28"/>
              </w:rPr>
              <w:t>умови щодо особливостей справляння платежів</w:t>
            </w:r>
          </w:p>
        </w:tc>
        <w:tc>
          <w:tcPr>
            <w:tcW w:w="12049" w:type="dxa"/>
          </w:tcPr>
          <w:p>
            <w:pPr>
              <w:shd w:val="clear" w:color="auto" w:fill="FFFFFF"/>
              <w:spacing w:after="15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1.Загальнодержавні податки та збори, місцеві податки, загальнодержавні внески, крім податку на додану вартість та податку на доходи фізичних осіб:</w:t>
            </w:r>
            <w:bookmarkStart w:id="1" w:name="bookmark80"/>
            <w:bookmarkStart w:id="2" w:name="bookmark81"/>
          </w:p>
          <w:p>
            <w:pPr>
              <w:shd w:val="clear" w:color="auto" w:fill="FFFFFF"/>
              <w:spacing w:after="15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lang w:eastAsia="uk-UA"/>
              </w:rPr>
              <w:t>(А)</w:t>
            </w:r>
            <w:r>
              <w:rPr>
                <w:rFonts w:ascii="Times New Roman" w:hAnsi="Times New Roman" w:cs="Times New Roman"/>
                <w:color w:val="000000" w:themeColor="text1"/>
                <w:sz w:val="28"/>
                <w:szCs w:val="28"/>
              </w:rPr>
              <w:t>Сплачувані податки та Податки на заробітну плату</w:t>
            </w:r>
            <w:bookmarkEnd w:id="1"/>
            <w:bookmarkEnd w:id="2"/>
            <w:r>
              <w:rPr>
                <w:rFonts w:ascii="Times New Roman" w:hAnsi="Times New Roman" w:cs="Times New Roman"/>
                <w:color w:val="000000" w:themeColor="text1"/>
                <w:sz w:val="28"/>
                <w:szCs w:val="28"/>
                <w:lang w:eastAsia="ru-RU"/>
              </w:rPr>
              <w:t xml:space="preserve"> </w:t>
            </w:r>
          </w:p>
          <w:p>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Протягом Строку</w:t>
            </w:r>
            <w:r>
              <w:rPr>
                <w:color w:val="000000" w:themeColor="text1"/>
                <w:sz w:val="28"/>
                <w:szCs w:val="28"/>
                <w:lang w:val="ru-RU"/>
              </w:rPr>
              <w:t xml:space="preserve"> дії</w:t>
            </w:r>
            <w:r>
              <w:rPr>
                <w:color w:val="000000" w:themeColor="text1"/>
                <w:sz w:val="28"/>
                <w:szCs w:val="28"/>
              </w:rPr>
              <w:t xml:space="preserve"> та в межах Операцій з вуглеводнями Інвестор </w:t>
            </w:r>
            <w:r>
              <w:rPr>
                <w:color w:val="000000" w:themeColor="text1"/>
                <w:sz w:val="28"/>
                <w:szCs w:val="28"/>
                <w:lang w:val="ru-RU"/>
              </w:rPr>
              <w:t xml:space="preserve">повинен </w:t>
            </w:r>
            <w:r>
              <w:rPr>
                <w:color w:val="000000" w:themeColor="text1"/>
                <w:sz w:val="28"/>
                <w:szCs w:val="28"/>
              </w:rPr>
              <w:t xml:space="preserve">сплачувати  (1) Податок на прибуток, (2) Плату за користування надрами та, передбачені Податковим кодексом України </w:t>
            </w:r>
            <w:bookmarkStart w:id="3" w:name="_Hlk27546057"/>
            <w:r>
              <w:rPr>
                <w:color w:val="000000" w:themeColor="text1"/>
                <w:sz w:val="28"/>
                <w:szCs w:val="28"/>
              </w:rPr>
              <w:t>(надалі - "</w:t>
            </w:r>
            <w:r>
              <w:rPr>
                <w:b/>
                <w:color w:val="000000" w:themeColor="text1"/>
                <w:sz w:val="28"/>
                <w:szCs w:val="28"/>
              </w:rPr>
              <w:t>С</w:t>
            </w:r>
            <w:r>
              <w:rPr>
                <w:b/>
                <w:bCs/>
                <w:color w:val="000000" w:themeColor="text1"/>
                <w:sz w:val="28"/>
                <w:szCs w:val="28"/>
              </w:rPr>
              <w:t>плачувані податки</w:t>
            </w:r>
            <w:r>
              <w:rPr>
                <w:color w:val="000000" w:themeColor="text1"/>
                <w:sz w:val="28"/>
                <w:szCs w:val="28"/>
              </w:rPr>
              <w:t>") за ставками, на умовах та в порядку, що передбачені Податковим кодексом України та іншим Законодавством України про Податки України з урахуванням особливостей, передбачених Угодою</w:t>
            </w:r>
            <w:r>
              <w:rPr>
                <w:color w:val="000000" w:themeColor="text1"/>
                <w:sz w:val="28"/>
                <w:szCs w:val="28"/>
                <w:lang w:eastAsia="ru-RU"/>
              </w:rPr>
              <w:t>.</w:t>
            </w:r>
            <w:bookmarkEnd w:id="3"/>
            <w:r>
              <w:rPr>
                <w:color w:val="000000" w:themeColor="text1"/>
                <w:sz w:val="28"/>
                <w:szCs w:val="28"/>
                <w:lang w:eastAsia="ru-RU"/>
              </w:rPr>
              <w:t xml:space="preserve"> </w:t>
            </w:r>
          </w:p>
          <w:p>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Інвестор зобов'язаний нараховувати, утримувати та сплачувати військовий збір із заробітної плати та інших винагород і виплат, нарахованих (виплачених) фізичним особам та єдиний внесок на загальнообов'язкове державне соціальне страхування своїх працівників та фізичних осіб за  цивільно-правовим договором в Україні (надалі - "</w:t>
            </w:r>
            <w:r>
              <w:rPr>
                <w:b/>
                <w:color w:val="000000" w:themeColor="text1"/>
                <w:sz w:val="28"/>
                <w:szCs w:val="28"/>
              </w:rPr>
              <w:t>Податки на заробітну плату</w:t>
            </w:r>
            <w:r>
              <w:rPr>
                <w:color w:val="000000" w:themeColor="text1"/>
                <w:sz w:val="28"/>
                <w:szCs w:val="28"/>
              </w:rPr>
              <w:t>").</w:t>
            </w:r>
          </w:p>
          <w:p>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Додатково до Сплачуваних податків та Податків на заробітну плату Інвестор:</w:t>
            </w:r>
          </w:p>
          <w:p>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(i)</w:t>
            </w:r>
            <w:r>
              <w:rPr>
                <w:color w:val="000000" w:themeColor="text1"/>
                <w:sz w:val="28"/>
                <w:szCs w:val="28"/>
              </w:rPr>
              <w:tab/>
              <w:t>сплачує акцизний податок при ввезенні товарів на митну територію України в митному режимі імпорту, як визначено в Розділі XVIII Податкового Кодексу України та Угодою. У тій мірі, у якій акцизний податок підлягає сплаті за Угодою, на нього поширюються правила, передбачені для Сплачуваних Податків;</w:t>
            </w:r>
          </w:p>
          <w:p>
            <w:pPr>
              <w:pStyle w:val="11"/>
              <w:shd w:val="clear" w:color="auto" w:fill="auto"/>
              <w:tabs>
                <w:tab w:val="left" w:pos="1134"/>
                <w:tab w:val="left" w:pos="1418"/>
              </w:tabs>
              <w:spacing w:after="240"/>
              <w:rPr>
                <w:color w:val="000000" w:themeColor="text1"/>
                <w:sz w:val="28"/>
                <w:szCs w:val="28"/>
              </w:rPr>
            </w:pPr>
            <w:r>
              <w:rPr>
                <w:color w:val="000000" w:themeColor="text1"/>
                <w:sz w:val="28"/>
                <w:szCs w:val="28"/>
              </w:rPr>
              <w:t>(ii)</w:t>
            </w:r>
            <w:r>
              <w:rPr>
                <w:color w:val="000000" w:themeColor="text1"/>
                <w:sz w:val="28"/>
                <w:szCs w:val="28"/>
              </w:rPr>
              <w:tab/>
            </w:r>
            <w:bookmarkStart w:id="4" w:name="_Ref58865553"/>
            <w:r>
              <w:rPr>
                <w:color w:val="000000" w:themeColor="text1"/>
                <w:sz w:val="28"/>
                <w:szCs w:val="28"/>
              </w:rPr>
              <w:t xml:space="preserve">У разі виникнення потреби у сплаті Інвестором державних зборів чи мит (за винятком зборів і мит, що передбачені або будуть передбачені Податковим кодексом України, а отже є Несплачуваними податками), </w:t>
            </w:r>
            <w:bookmarkStart w:id="5" w:name="_Hlk27400113"/>
            <w:r>
              <w:rPr>
                <w:color w:val="000000" w:themeColor="text1"/>
                <w:sz w:val="28"/>
                <w:szCs w:val="28"/>
              </w:rPr>
              <w:t xml:space="preserve">для отримання послуги чи виконання будь-якої необхідної дії </w:t>
            </w:r>
            <w:bookmarkEnd w:id="5"/>
            <w:r>
              <w:rPr>
                <w:color w:val="000000" w:themeColor="text1"/>
                <w:sz w:val="28"/>
                <w:szCs w:val="28"/>
              </w:rPr>
              <w:t>державними органами або державними установами у зв'язку з Операціями з вуглеводнями, Інвестор (в тому числі як платник податків за Угодою) сплачує такий збір або мито відповідно до загального порядку, на умовах і у розмірах, передбачених Законодавством України</w:t>
            </w:r>
          </w:p>
          <w:p>
            <w:pPr>
              <w:pStyle w:val="11"/>
              <w:shd w:val="clear" w:color="auto" w:fill="auto"/>
              <w:tabs>
                <w:tab w:val="left" w:pos="1134"/>
                <w:tab w:val="left" w:pos="1418"/>
              </w:tabs>
              <w:spacing w:after="240"/>
              <w:rPr>
                <w:color w:val="000000" w:themeColor="text1"/>
                <w:sz w:val="28"/>
                <w:szCs w:val="28"/>
                <w:lang w:val="ru-RU"/>
              </w:rPr>
            </w:pPr>
            <w:r>
              <w:rPr>
                <w:color w:val="000000" w:themeColor="text1"/>
                <w:sz w:val="28"/>
                <w:szCs w:val="28"/>
              </w:rPr>
              <w:t xml:space="preserve">Для цілей розрахунку Податку на прибуток, Плати за користування надрами згідно з </w:t>
            </w:r>
            <w:r>
              <w:rPr>
                <w:color w:val="000000" w:themeColor="text1"/>
                <w:sz w:val="28"/>
                <w:szCs w:val="28"/>
                <w:lang w:val="ru-RU"/>
              </w:rPr>
              <w:t>Угодою, вартість всіх Видобутих вуглеводнів розраховується  та визначається у спосіб, передбачений Угодою.</w:t>
            </w:r>
            <w:bookmarkEnd w:id="4"/>
            <w:r>
              <w:rPr>
                <w:color w:val="000000" w:themeColor="text1"/>
                <w:sz w:val="28"/>
                <w:szCs w:val="28"/>
                <w:lang w:val="ru-RU"/>
              </w:rPr>
              <w:t xml:space="preserve"> </w:t>
            </w:r>
          </w:p>
          <w:p>
            <w:pPr>
              <w:pStyle w:val="11"/>
              <w:shd w:val="clear" w:color="auto" w:fill="auto"/>
              <w:tabs>
                <w:tab w:val="left" w:pos="1134"/>
                <w:tab w:val="left" w:pos="1418"/>
              </w:tabs>
              <w:spacing w:after="240"/>
              <w:rPr>
                <w:color w:val="000000" w:themeColor="text1"/>
                <w:sz w:val="28"/>
                <w:szCs w:val="28"/>
                <w:lang w:val="ru-RU"/>
              </w:rPr>
            </w:pPr>
            <w:r>
              <w:rPr>
                <w:color w:val="000000" w:themeColor="text1"/>
                <w:sz w:val="28"/>
                <w:szCs w:val="28"/>
                <w:lang w:val="ru-RU"/>
              </w:rPr>
              <w:t>2.</w:t>
            </w:r>
            <w:bookmarkStart w:id="6" w:name="_Ref58865251"/>
            <w:r>
              <w:rPr>
                <w:color w:val="000000" w:themeColor="text1"/>
                <w:sz w:val="28"/>
                <w:szCs w:val="28"/>
                <w:lang w:val="ru-RU"/>
              </w:rPr>
              <w:t>Частина прибуткової продукції:</w:t>
            </w:r>
          </w:p>
          <w:p>
            <w:pPr>
              <w:pStyle w:val="11"/>
              <w:shd w:val="clear" w:color="auto" w:fill="auto"/>
              <w:tabs>
                <w:tab w:val="left" w:pos="1134"/>
                <w:tab w:val="left" w:pos="1418"/>
              </w:tabs>
              <w:spacing w:after="240"/>
              <w:rPr>
                <w:bCs/>
                <w:color w:val="000000" w:themeColor="text1"/>
                <w:sz w:val="28"/>
                <w:szCs w:val="28"/>
                <w:lang w:val="ru-RU"/>
              </w:rPr>
            </w:pPr>
            <w:r>
              <w:rPr>
                <w:bCs/>
                <w:color w:val="000000" w:themeColor="text1"/>
                <w:sz w:val="28"/>
                <w:szCs w:val="28"/>
                <w:lang w:val="ru-RU"/>
              </w:rPr>
              <w:t>Належна частка Держави у Прибуткових вуглеводнях становить різницю між кількістю Прибуткових вуглеводнів та Належної частки Інвестора у Прибуткових вуглеводнях. Сторони можуть письмово шляхом укладання відповідної додаткової угоди до Угоди домовитися розподіляти Прибуткові вуглеводні шляхом розподілу виручки від їх продажу.</w:t>
            </w:r>
            <w:bookmarkEnd w:id="6"/>
          </w:p>
          <w:p>
            <w:pPr>
              <w:pStyle w:val="St2"/>
              <w:numPr>
                <w:ilvl w:val="0"/>
                <w:numId w:val="0"/>
              </w:numPr>
              <w:rPr>
                <w:rFonts w:cs="Times New Roman"/>
                <w:color w:val="000000" w:themeColor="text1"/>
                <w:sz w:val="28"/>
                <w:szCs w:val="28"/>
                <w:lang w:val="ru-RU"/>
              </w:rPr>
            </w:pPr>
            <w:r>
              <w:rPr>
                <w:rStyle w:val="normaltextrun"/>
                <w:rFonts w:cs="Times New Roman"/>
                <w:color w:val="000000" w:themeColor="text1"/>
                <w:sz w:val="28"/>
                <w:szCs w:val="28"/>
                <w:lang w:val="ru-RU"/>
              </w:rPr>
              <w:t>Інвестор</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в порядку та на умовах, передбачених Угодою, здійснює передачу Державі в Пункті виміру</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всього або частини обсягу Належної частки Держави у Прибуткових вуглеводнях</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або здійснює реалізацію (продаж) всього або частини обсягу Належної частки Держави у Прибуткових вуглеводнях, отриманої в результаті розподілу Видобутих вуглеводнів між Сторонами Угоди, та передає грошовий еквівалент такої реалізованої частки Державі.</w:t>
            </w:r>
            <w:r>
              <w:rPr>
                <w:rStyle w:val="normaltextrun"/>
                <w:rFonts w:cs="Times New Roman"/>
                <w:color w:val="000000" w:themeColor="text1"/>
                <w:sz w:val="28"/>
                <w:szCs w:val="28"/>
              </w:rPr>
              <w:t> </w:t>
            </w:r>
            <w:r>
              <w:rPr>
                <w:rStyle w:val="eop"/>
                <w:rFonts w:cs="Times New Roman"/>
                <w:color w:val="000000" w:themeColor="text1"/>
                <w:sz w:val="28"/>
                <w:szCs w:val="28"/>
              </w:rPr>
              <w:t> </w:t>
            </w:r>
            <w:r>
              <w:rPr>
                <w:rFonts w:cs="Times New Roman"/>
                <w:color w:val="000000" w:themeColor="text1"/>
                <w:sz w:val="28"/>
                <w:szCs w:val="28"/>
                <w:lang w:val="uk-UA"/>
              </w:rPr>
              <w:t>Г</w:t>
            </w:r>
            <w:r>
              <w:rPr>
                <w:rFonts w:cs="Times New Roman"/>
                <w:color w:val="000000" w:themeColor="text1"/>
                <w:sz w:val="28"/>
                <w:szCs w:val="28"/>
              </w:rPr>
              <w:t xml:space="preserve">рошовим еквівалентом реалізованої Належної частки Держави є сума, що підлягає перерахуванню </w:t>
            </w:r>
            <w:r>
              <w:rPr>
                <w:rFonts w:cs="Times New Roman"/>
                <w:color w:val="000000" w:themeColor="text1"/>
                <w:sz w:val="28"/>
                <w:szCs w:val="28"/>
                <w:lang w:val="ru-RU"/>
              </w:rPr>
              <w:t>Державі за результатами реалізації Інвестором Належної частки Дер</w:t>
            </w:r>
            <w:bookmarkStart w:id="7" w:name="_Ref58866047"/>
            <w:r>
              <w:rPr>
                <w:rFonts w:cs="Times New Roman"/>
                <w:color w:val="000000" w:themeColor="text1"/>
                <w:sz w:val="28"/>
                <w:szCs w:val="28"/>
                <w:lang w:val="ru-RU"/>
              </w:rPr>
              <w:t>жави в Прибуткових вуглеводнях.</w:t>
            </w:r>
          </w:p>
          <w:p>
            <w:pPr>
              <w:pStyle w:val="St2"/>
              <w:numPr>
                <w:ilvl w:val="0"/>
                <w:numId w:val="0"/>
              </w:numPr>
              <w:rPr>
                <w:rStyle w:val="normaltextrun"/>
                <w:rFonts w:cs="Times New Roman"/>
                <w:color w:val="000000" w:themeColor="text1"/>
                <w:sz w:val="28"/>
                <w:szCs w:val="28"/>
                <w:lang w:val="ru-RU"/>
              </w:rPr>
            </w:pPr>
            <w:r>
              <w:rPr>
                <w:rStyle w:val="normaltextrun"/>
                <w:rFonts w:cs="Times New Roman"/>
                <w:color w:val="000000" w:themeColor="text1"/>
                <w:sz w:val="28"/>
                <w:szCs w:val="28"/>
                <w:lang w:val="ru-RU"/>
              </w:rPr>
              <w:t>У випадку, якщо</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Інвестор реалізує від імені Держави та з урахуванням положень цього пункту Належну частку Держави в Прибуткових вуглеводнях або частину такої частки,</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то</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Інвестор</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перераховує чисті надходження від такої реалізації на Банківський Рахунок Держави, за вирахуванням ПДВ,</w:t>
            </w:r>
            <w:r>
              <w:rPr>
                <w:rStyle w:val="normaltextrun"/>
                <w:rFonts w:cs="Times New Roman"/>
                <w:color w:val="000000" w:themeColor="text1"/>
                <w:sz w:val="28"/>
                <w:szCs w:val="28"/>
              </w:rPr>
              <w:t> </w:t>
            </w:r>
            <w:r>
              <w:rPr>
                <w:rStyle w:val="normaltextrun"/>
                <w:rFonts w:cs="Times New Roman"/>
                <w:color w:val="000000" w:themeColor="text1"/>
                <w:sz w:val="28"/>
                <w:szCs w:val="28"/>
                <w:lang w:val="ru-RU"/>
              </w:rPr>
              <w:t xml:space="preserve"> погодженої норми прибутку Інвестора, та витрат, пов’язаних з транспортуванням та реалізацією такої Належної частки Держави в Прибуткових вуглеводнях.</w:t>
            </w:r>
            <w:bookmarkEnd w:id="7"/>
          </w:p>
          <w:p>
            <w:pPr>
              <w:pStyle w:val="St2"/>
              <w:numPr>
                <w:ilvl w:val="0"/>
                <w:numId w:val="0"/>
              </w:numPr>
              <w:rPr>
                <w:rStyle w:val="normaltextrun"/>
                <w:rFonts w:cs="Times New Roman"/>
                <w:color w:val="000000" w:themeColor="text1"/>
                <w:sz w:val="28"/>
                <w:szCs w:val="28"/>
                <w:lang w:val="ru-RU"/>
              </w:rPr>
            </w:pPr>
            <w:r>
              <w:rPr>
                <w:rStyle w:val="normaltextrun"/>
                <w:rFonts w:cs="Times New Roman"/>
                <w:color w:val="000000" w:themeColor="text1"/>
                <w:sz w:val="28"/>
                <w:szCs w:val="28"/>
                <w:lang w:val="ru-RU"/>
              </w:rPr>
              <w:t>3.Плата за видачу спецдозволу:</w:t>
            </w:r>
          </w:p>
          <w:p>
            <w:pPr>
              <w:pStyle w:val="St2"/>
              <w:numPr>
                <w:ilvl w:val="0"/>
                <w:numId w:val="0"/>
              </w:numPr>
              <w:rPr>
                <w:rFonts w:cs="Times New Roman"/>
                <w:color w:val="000000" w:themeColor="text1"/>
                <w:sz w:val="28"/>
                <w:szCs w:val="28"/>
                <w:lang w:val="ru-RU"/>
              </w:rPr>
            </w:pPr>
            <w:r>
              <w:rPr>
                <w:rFonts w:cs="Times New Roman"/>
                <w:color w:val="000000" w:themeColor="text1"/>
                <w:sz w:val="28"/>
                <w:szCs w:val="28"/>
                <w:lang w:val="ru-RU"/>
              </w:rPr>
              <w:t>Держава має забезпечити видачу Спеціального дозволу Інвестору в порядку, передбаченому Угодою та додатками до неї.</w:t>
            </w:r>
          </w:p>
          <w:p>
            <w:pPr>
              <w:pStyle w:val="11"/>
              <w:shd w:val="clear" w:color="auto" w:fill="auto"/>
              <w:tabs>
                <w:tab w:val="left" w:pos="1134"/>
                <w:tab w:val="left" w:pos="1418"/>
              </w:tabs>
              <w:spacing w:after="120" w:line="240" w:lineRule="auto"/>
              <w:rPr>
                <w:color w:val="000000" w:themeColor="text1"/>
                <w:sz w:val="28"/>
                <w:szCs w:val="28"/>
              </w:rPr>
            </w:pPr>
            <w:r>
              <w:rPr>
                <w:color w:val="000000" w:themeColor="text1"/>
                <w:sz w:val="28"/>
                <w:szCs w:val="28"/>
              </w:rPr>
              <w:t>За надання Спеціального Дозволу з метою виконання Угоди справляється збір у розмірі 1 відсотка початкової ціни продажу такого дозволу на аукціоні, який розраховується згідно з Законодавством України та складає   1 261 400</w:t>
            </w:r>
            <w:r>
              <w:rPr>
                <w:color w:val="000000" w:themeColor="text1"/>
                <w:sz w:val="28"/>
                <w:szCs w:val="28"/>
                <w:lang w:val="ru-RU"/>
              </w:rPr>
              <w:t xml:space="preserve"> </w:t>
            </w:r>
            <w:r>
              <w:rPr>
                <w:color w:val="000000" w:themeColor="text1"/>
                <w:sz w:val="28"/>
                <w:szCs w:val="28"/>
              </w:rPr>
              <w:t>грн (один мільйон двісті шістдесят одну тисячу чотириста гривень).</w:t>
            </w:r>
          </w:p>
          <w:p>
            <w:pPr>
              <w:pStyle w:val="11"/>
              <w:shd w:val="clear" w:color="auto" w:fill="auto"/>
              <w:tabs>
                <w:tab w:val="left" w:pos="1134"/>
                <w:tab w:val="left" w:pos="1418"/>
              </w:tabs>
              <w:spacing w:after="120" w:line="240" w:lineRule="auto"/>
              <w:rPr>
                <w:color w:val="000000" w:themeColor="text1"/>
                <w:sz w:val="28"/>
                <w:szCs w:val="28"/>
              </w:rPr>
            </w:pPr>
            <w:r>
              <w:rPr>
                <w:color w:val="000000" w:themeColor="text1"/>
                <w:sz w:val="28"/>
                <w:szCs w:val="28"/>
              </w:rPr>
              <w:t xml:space="preserve">Будь-які зміни до Спеціального дозволу або його переоформлення, в тому числі внаслідок відступлення прав за Угодою,  </w:t>
            </w:r>
            <w:bookmarkStart w:id="8" w:name="_DV_C822"/>
            <w:r>
              <w:rPr>
                <w:rStyle w:val="DeltaViewDeletion"/>
                <w:strike w:val="0"/>
                <w:color w:val="000000" w:themeColor="text1"/>
                <w:w w:val="0"/>
                <w:sz w:val="28"/>
                <w:szCs w:val="28"/>
              </w:rPr>
              <w:t>не призводитимуть до виникнення будь-яких податкових зобов'язань т</w:t>
            </w:r>
            <w:bookmarkStart w:id="9" w:name="_DV_M608"/>
            <w:bookmarkEnd w:id="8"/>
            <w:bookmarkEnd w:id="9"/>
            <w:r>
              <w:rPr>
                <w:rStyle w:val="DeltaViewDeletion"/>
                <w:strike w:val="0"/>
                <w:color w:val="000000" w:themeColor="text1"/>
                <w:w w:val="0"/>
                <w:sz w:val="28"/>
                <w:szCs w:val="28"/>
              </w:rPr>
              <w:t>а не</w:t>
            </w:r>
            <w:r>
              <w:rPr>
                <w:color w:val="000000" w:themeColor="text1"/>
                <w:sz w:val="28"/>
                <w:szCs w:val="28"/>
              </w:rPr>
              <w:t xml:space="preserve"> вимагатимуть сплати будь-якого збору чи іншої плати, передбачених Законодавством України.</w:t>
            </w:r>
          </w:p>
          <w:p>
            <w:pPr>
              <w:pStyle w:val="11"/>
              <w:shd w:val="clear" w:color="auto" w:fill="auto"/>
              <w:tabs>
                <w:tab w:val="left" w:pos="1134"/>
                <w:tab w:val="left" w:pos="1418"/>
              </w:tabs>
              <w:spacing w:after="120" w:line="240" w:lineRule="auto"/>
              <w:rPr>
                <w:color w:val="000000" w:themeColor="text1"/>
                <w:sz w:val="28"/>
                <w:szCs w:val="28"/>
                <w:shd w:val="clear" w:color="auto" w:fill="FFFFFF"/>
              </w:rPr>
            </w:pPr>
            <w:r>
              <w:rPr>
                <w:color w:val="000000" w:themeColor="text1"/>
                <w:sz w:val="28"/>
                <w:szCs w:val="28"/>
              </w:rPr>
              <w:t xml:space="preserve">Ця Угода замінює собою угоду про умови користування надрами для цілей видачі/переоформлення/внесення змін/продовження строку дії Спеціального дозволу </w:t>
            </w:r>
          </w:p>
          <w:p>
            <w:pPr>
              <w:pStyle w:val="11"/>
              <w:shd w:val="clear" w:color="auto" w:fill="auto"/>
              <w:tabs>
                <w:tab w:val="left" w:pos="1134"/>
                <w:tab w:val="left" w:pos="1418"/>
              </w:tabs>
              <w:spacing w:after="120" w:line="240" w:lineRule="auto"/>
              <w:rPr>
                <w:rFonts w:eastAsia="Times New Roman"/>
                <w:color w:val="000000" w:themeColor="text1"/>
                <w:sz w:val="28"/>
                <w:szCs w:val="28"/>
                <w:lang w:val="ru-RU"/>
              </w:rPr>
            </w:pPr>
            <w:r>
              <w:rPr>
                <w:rStyle w:val="normaltextrun"/>
                <w:rFonts w:eastAsia="SimSun"/>
                <w:color w:val="000000" w:themeColor="text1"/>
                <w:sz w:val="28"/>
                <w:szCs w:val="28"/>
              </w:rPr>
              <w:t xml:space="preserve"> 4. </w:t>
            </w:r>
            <w:r>
              <w:rPr>
                <w:rStyle w:val="eop"/>
                <w:rFonts w:eastAsia="SimSun"/>
                <w:color w:val="000000" w:themeColor="text1"/>
                <w:sz w:val="28"/>
                <w:szCs w:val="28"/>
              </w:rPr>
              <w:t> П</w:t>
            </w:r>
            <w:r>
              <w:rPr>
                <w:rFonts w:eastAsia="Times New Roman"/>
                <w:color w:val="000000" w:themeColor="text1"/>
                <w:sz w:val="28"/>
                <w:szCs w:val="28"/>
                <w:lang w:val="ru-RU"/>
              </w:rPr>
              <w:t>лата за придбання прав на геологічну інформацію:</w:t>
            </w:r>
          </w:p>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плата за вторинну (оброблену) геологічну інформацію, що є державною власністю, </w:t>
            </w:r>
            <w:r>
              <w:rPr>
                <w:rFonts w:ascii="Times New Roman" w:hAnsi="Times New Roman" w:cs="Times New Roman"/>
                <w:color w:val="000000" w:themeColor="text1"/>
                <w:sz w:val="28"/>
                <w:szCs w:val="28"/>
                <w:lang w:val="ru-RU"/>
              </w:rPr>
              <w:t xml:space="preserve">яка </w:t>
            </w:r>
            <w:r>
              <w:rPr>
                <w:rFonts w:ascii="Times New Roman" w:hAnsi="Times New Roman" w:cs="Times New Roman"/>
                <w:color w:val="000000" w:themeColor="text1"/>
                <w:sz w:val="28"/>
                <w:szCs w:val="28"/>
              </w:rPr>
              <w:t xml:space="preserve">справляється з Інвестора при отриманні Спеціального дозволу та надається Інвестору за його окремим запитом з переліку, який міститься у Додатку </w:t>
            </w:r>
            <w:r>
              <w:rPr>
                <w:rFonts w:ascii="Times New Roman" w:hAnsi="Times New Roman" w:cs="Times New Roman"/>
                <w:color w:val="000000" w:themeColor="text1"/>
                <w:sz w:val="28"/>
                <w:szCs w:val="28"/>
                <w:lang w:val="en-US"/>
              </w:rPr>
              <w:t>D</w:t>
            </w:r>
            <w:r>
              <w:rPr>
                <w:rFonts w:ascii="Times New Roman" w:hAnsi="Times New Roman" w:cs="Times New Roman"/>
                <w:color w:val="000000" w:themeColor="text1"/>
                <w:sz w:val="28"/>
                <w:szCs w:val="28"/>
              </w:rPr>
              <w:t xml:space="preserve">-1 до Угоди; </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5. Бонуси: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 xml:space="preserve"> підписанням Угоди на Інвестора не покладається жодних обов'язків щодо сплати на користь Держави будь-яких бонусів.</w:t>
            </w:r>
          </w:p>
        </w:tc>
      </w:tr>
      <w:tr>
        <w:trPr>
          <w:trHeight w:val="870"/>
        </w:trPr>
        <w:tc>
          <w:tcPr>
            <w:tcW w:w="3374" w:type="dxa"/>
          </w:tcPr>
          <w:p>
            <w:pPr>
              <w:pStyle w:val="rvps2"/>
              <w:shd w:val="clear" w:color="auto" w:fill="FFFFFF"/>
              <w:rPr>
                <w:color w:val="000000" w:themeColor="text1"/>
                <w:sz w:val="28"/>
                <w:szCs w:val="28"/>
              </w:rPr>
            </w:pPr>
            <w:r>
              <w:rPr>
                <w:color w:val="000000" w:themeColor="text1"/>
                <w:sz w:val="28"/>
                <w:szCs w:val="28"/>
              </w:rPr>
              <w:t>операційні зобов’язання, зокрема програми робіт</w:t>
            </w:r>
          </w:p>
        </w:tc>
        <w:tc>
          <w:tcPr>
            <w:tcW w:w="12049" w:type="dxa"/>
          </w:tcPr>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ФОРМИ ПРОГРАМ РОБІТ ТА БЮДЖЕТІВ ЕТАПУ ГЕОЛОГІЧНОГО ВИВЧЕННЯ ТА ПРОМИСЛОВОЇ РОЗРОБКИ.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Програма Робіт та Бюджет Етапу Геологічного Вивчення (на перші 5 років) визначена у додатку L до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разі продовження Етапу Геологічного Вивчення на підставі Розділу 6.6, Інвестор складає Програми Робіт та Бюджет, в яких визначає Операції з вуглеводнями, які необхідно додатково виконати для геологічного вивчення Договірної Ділянки та в подальшому перейти до Етапу Промислової розробки. Такі Програми Робіт та Бюджет узгоджуються Державним уповноваженим органом у порядку, визначеному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На Етапі Промислової розробки Інвестор складає орієнтовну п’ятирічну Програму Робіт та Бюджет та узгоджує з Державним уповноваженим органом у порядку, визначеному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Крім того, на Етапі Промислової розробки Інвестор складає щорічні Програми Робіт та Бюджет та узгоджує їх з Державним уповноваженим органом у порядку, визначеному Угодою.</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При формуванні щорічних Програм робіт та Бюджетів Інвестор використовує форми, які наведені у додатках до Угоди.</w:t>
            </w:r>
          </w:p>
        </w:tc>
      </w:tr>
      <w:tr>
        <w:trPr>
          <w:trHeight w:val="870"/>
        </w:trPr>
        <w:tc>
          <w:tcPr>
            <w:tcW w:w="3374" w:type="dxa"/>
          </w:tcPr>
          <w:p>
            <w:pPr>
              <w:pStyle w:val="rvps2"/>
              <w:shd w:val="clear" w:color="auto" w:fill="FFFFFF"/>
              <w:rPr>
                <w:color w:val="000000" w:themeColor="text1"/>
                <w:sz w:val="28"/>
                <w:szCs w:val="28"/>
              </w:rPr>
            </w:pPr>
            <w:r>
              <w:rPr>
                <w:color w:val="000000" w:themeColor="text1"/>
                <w:sz w:val="28"/>
                <w:szCs w:val="28"/>
              </w:rPr>
              <w:t>зобов’язання щодо природоохоронних заходів;</w:t>
            </w:r>
          </w:p>
          <w:p>
            <w:pPr>
              <w:pStyle w:val="rvps2"/>
              <w:shd w:val="clear" w:color="auto" w:fill="FFFFFF"/>
              <w:rPr>
                <w:color w:val="000000" w:themeColor="text1"/>
                <w:sz w:val="28"/>
                <w:szCs w:val="28"/>
              </w:rPr>
            </w:pPr>
          </w:p>
        </w:tc>
        <w:tc>
          <w:tcPr>
            <w:tcW w:w="12049" w:type="dxa"/>
          </w:tcPr>
          <w:p>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ПОЛОЖЕННЯ ЩОДО ОХОРОНИ НАВКОЛИШНЬОГО ПРИРОДНОГО СЕРЕДОВИЩА (ОБСЯГИ І СТРОКИ ВИКОНАННЯ ПРИРОДООХОРОННИХ ЗАХОДІВ)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Під час здійснення Операцій з вуглеводнями Інвестор повинен вживати необхідні заходи для забезпечення того, щоб він та його Підрядники дотримувалися Законодавства України та існуючих практик та процедур щодо захисту Навколишнього природного середовища та запобігання його забрудненню. Зокрема, Інвестор зобов'язаний здійснювати заходи, передбачені Законодавством України задля: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(A) охорони земель та запобігання деградації ґрунтів;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(B) сприяння збереженню води шляхом обмеження використання водних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ресурсів для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(C) захисту поверхневих та підземних вод від забруднення хімічними речовинами, які використовуються для гідравлічного розриву, зокрема шляхом докладання максимальних зусиль для забезпечення використання для Операцій з вуглеводнями води, непризначеної для пиття, та води, що повертається з продуктивного пласту;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(D) зменшення рівня мінералізації води, яка повертається з продуктивногопласту і повторно закачується у підземні горизонти, шляхом застосування ефективних технологій;</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(E) моніторингу стану підземних та поверхневих вод, зокрема шляхом здійснення початкового та періодичного аналізу впливу Операцій з вуглеводнями на підземні та поверхневі води в межах ділянок, де проводяться Операції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(F) мінімізації ризиків негативного впливу Операцій з вуглеводнями на Довкілля, зокрема шляхом докладання всіх розумних зусиль під час здійснення Операцій з вуглеводнями із застосуванням стандартів і практик Інвестора задля того, аби: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(1) виключити витоки, розливи і надзвичайні екологічні ситуації;</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(2) оцінювати та зменшувати екологічні ризики;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(3) сприяти мінімізації надзвичайних ситуацій під час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(4) досягти максимального використання ресурсів та активів;</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(5) забезпечити належні умови охорони здоров'я і безпеки праці персоналу з метою мінімізації серйозних ризиків для здоров'я; та</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(6) досягти створення травмобезпечних умов на робочих місцях.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(G) недопущення діяльності в межах територій та об’єктів природно-заповідного фонду України, якщо це не суперечить законодавству України. Вимоги щодо безпеки та охорони праці персоналу Інвестора, залученого до Операцій з вуглеводнями, викладені в Додатку G. При залученні Підрядників для здійснення Операцій з Вуглеводнями Інвестор вимагатиме, щоб вони дотримувались вимог, викладених у даному Розділі 36.</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Перед поверненням будь-якої частини Договірної ділянки або при реалізації Інвестором свого права на відмову, Інвестор вживає розумні заходи для виділення ділянки, яка повинна бути повернена, для усунення наслідків здійснення Операцій з вуглеводнями. Такі заходи проводяться Інвестором згідно з Угодою та відповідно до Додатку J та Законодавства України. Такі заходи повинні передбачати, за необхідності, консервацію, призупинення, ліквідацію чи закриття на місці об'єктів, матеріалів та обладнання разом з обґрунтованими заходами, необхідними для захисту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та відновлення попереднього стану Навколишнього природного середовища, зокрема фауни, флори та екосистем, відновлення та рекультивації земельних ділянок, в кожному випадку із застосуванням належних методів, що враховують відповідні ризики. Будь- які витрати та видатки згідно з цим Розділом 36 вважаються Компенсаційними витратами та підлягають відшкодуванню згідно з положеннями Розділу 25.</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Перед поверненням будь-якої частини або всієї Договірної ділянки, після проведення заходів, передбачених Розділом 36.2, або ж перед припиненням дії Угоди Інвестор здійснює оцінку впливу Операцій з вуглеводнями на Стан Навколишнього природного середовища з урахуванням результатів Екологічної оцінки, проведеної відповідно до Розділу 36.5 (надалі – "Екологічний аудит").</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повинен намагатись вчиняти необхідні дії та вживати заходів із запобігання забрудненню, ліквідації наслідків шкідливого впливу на Навколишнє природне середовище та здоров'я людей, а також для захисту Навколишньогоприродного середовища (фауни та флори), водних ресурсів та будь-яких інших природних ресурсів при здійсненні Операцій з вуглеводнями відповідно до Законодавства України для врегулювання питань щодо забруднення, яке може виникати безпосередньо в результаті Операцій з вуглеводнями.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До початку виконання будь-яких Операцій з вуглеводнями на Договірній ділянці Інвестор повинен здійснити оцінку рівня забруднення Навколишнього природного середовища в межах частини Договірної ділянки, на якій невдовзі повинні здійснюватися будь-які Операції з вуглеводнями (надалі - "Екологічна оцінка"). Екологічна оцінка проводиться компетентним Підрядником обраним Інвестором на власний розсуд, або на вимогу Інвестора Державою (в такому випадку Держава зобов'язується забезпечити проведення такої оцінки протягом 90 (дев’яносто) днів після отримання повідомлення Інвестора, а Інвестор вважається таким, що виконав свій обов'язок щодо проведення Екологічної оцінки).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Екологічна оцінка проводилась Підрядником, обраним Інвестором, Інвестор повідомляє результати дослідження Державному уповноваженому органу та, якщо Інвестор вважатиме це за доречне, або якщо Державний уповноважений орган це вимагатиме, іншому Державному органу.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має докладати зусиль щодо відстеження будь-якого істотного впливу на Стан Навколишнього природного середовища, внаслідок здійснення Операцій з вуглеводнями відповідно до Угоди. Під час здійснення Операцій з вуглеводнями Інвестор та/або залучені ним Підрядники зобов'язані дотримуватись екологічних умов, викладених у висновку з оцінки впливу на довкілля, як передбачено Розділом 16.8 (для цілей Розділу 36 висновок з оцінки впливу на довкілля означає висновок, отриманий згідно з статтею 11 Закону про УРП). Якщо це передбачено висновком з оцінки впливу на довкілля, Інвестор забезпечує здійснення післяпроектного моніторингу з метою виявлення будь-яких розбіжностей і відхилень у прогнозованих рівнях впливу та ефективності заходів із запобігання забрудненню Навколишнього природного середовища та його зменшення.</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докладає обґрунтовані зусилля для недопущення будь-якого негативного впливу на ділянки, які належать до природно-заповідного фонду України, що може виникати безпосередньо в результаті Операцій з вуглеводнями, відповідно до Законодавства України та Належної практики діяльності в нафтогазовій промисловості в аналогічних фізичних та екологічних середовищах.</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У разі якщо Держава має намір визначити або створити або дозволити створення будь- яких об'єктів природно-заповідного фонду, зокрема, національних парків, заповідників, які розташовуватимуться, повністю або частково, в межах Договірної ділянки, тоді (і) Держава повідомить Інвестора про таке визначення або створення не менш ніж за 360 (триста шістдесят) днів до такого визначення або створення, (ii) Держава і Інвестор після такого повідомлення розпочнуть консультації, протягом яких Держава і Інвестор обговорять збитки, що можуть бути завдані, якщо створення такого об'єкту природно- заповідного фонду в межах Договірної ділянки призведе до обмеження Операцій з вуглеводнями, в тому числі, але без обмеження, упущену вигоду</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(неодержаний прибуток), пов'язані з таким обмеженням, і мають узгодити суму відшкодування збитків Державою (ііі) Держава має прийняти рішення чи буде вона продовжувати процес такого визначення або створення, (iv) якщо Держава прийняла рішення продовжувати таке визначення або створення, вона має компенсувати Інвестору збитки, узгоджені відповідно до пункту (іі), і (v) якщо Держава і Інвестор не узгодили суму компенсації, тоді такий Спір має бути вирішений згідно з Розділом 39 Угоди.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не несе відповідальності за будь-який Стан Навколишнього природного середовища або впливи в межах Договірної ділянки або будь-якої земельної ділянки, що межує з нею, які існують станом на та до Дати початку, а також за будь-які дії непов'язані з Операціями з вуглеводнями, вчинені Особами (крім Підрядників).</w:t>
            </w:r>
          </w:p>
          <w:p>
            <w:pPr>
              <w:pStyle w:val="DodatokStyle1"/>
              <w:rPr>
                <w:rFonts w:cs="Times New Roman"/>
                <w:color w:val="auto"/>
                <w:sz w:val="28"/>
                <w:szCs w:val="28"/>
              </w:rPr>
            </w:pPr>
            <w:bookmarkStart w:id="10" w:name="bookmark139"/>
            <w:bookmarkStart w:id="11" w:name="bookmark140"/>
            <w:r>
              <w:rPr>
                <w:rFonts w:cs="Times New Roman"/>
                <w:color w:val="auto"/>
                <w:sz w:val="28"/>
                <w:szCs w:val="28"/>
              </w:rPr>
              <w:t>Охорона Навколишнього природного середовища</w:t>
            </w:r>
            <w:bookmarkEnd w:id="10"/>
            <w:bookmarkEnd w:id="11"/>
          </w:p>
          <w:p>
            <w:pPr>
              <w:pStyle w:val="11"/>
              <w:shd w:val="clear" w:color="auto" w:fill="auto"/>
              <w:tabs>
                <w:tab w:val="left" w:pos="1134"/>
                <w:tab w:val="left" w:pos="1418"/>
                <w:tab w:val="left" w:pos="8002"/>
              </w:tabs>
              <w:spacing w:after="0" w:line="240" w:lineRule="auto"/>
              <w:rPr>
                <w:sz w:val="28"/>
                <w:szCs w:val="28"/>
              </w:rPr>
            </w:pPr>
            <w:r>
              <w:rPr>
                <w:sz w:val="28"/>
                <w:szCs w:val="28"/>
              </w:rPr>
              <w:t>Інвестор має замкнутий цикл виробництва, питання екологічної безпеки становить один із пріоритетних напрямів його діяльності. Саме тому одним із предметів діяльності Інвестора є забезпечення надійності та безпеки експлуатації об'єктів видобутку та переробки газу, газового конденсату та нафти відповідно до чинного законодавства; здійснення природоохоронних заходів при освоєнні родовищ,  видобутку, транспортуванні і переробці вуглеводневої сировини та іншій виробничо-господарській діяльності, що дозволяє Інвестору мінімізувати вплив від своєї діяльності на Навколишнє природне середовище та забезпечити належний рівень його захисту.</w:t>
            </w:r>
          </w:p>
          <w:p>
            <w:pPr>
              <w:pStyle w:val="11"/>
              <w:shd w:val="clear" w:color="auto" w:fill="auto"/>
              <w:tabs>
                <w:tab w:val="left" w:pos="1134"/>
                <w:tab w:val="left" w:pos="1418"/>
                <w:tab w:val="left" w:pos="8002"/>
              </w:tabs>
              <w:spacing w:after="0" w:line="240" w:lineRule="auto"/>
              <w:rPr>
                <w:sz w:val="28"/>
                <w:szCs w:val="28"/>
              </w:rPr>
            </w:pPr>
          </w:p>
          <w:p>
            <w:pPr>
              <w:pStyle w:val="11"/>
              <w:shd w:val="clear" w:color="auto" w:fill="auto"/>
              <w:tabs>
                <w:tab w:val="left" w:pos="1134"/>
                <w:tab w:val="left" w:pos="1418"/>
              </w:tabs>
              <w:spacing w:after="0" w:line="240" w:lineRule="auto"/>
              <w:rPr>
                <w:sz w:val="28"/>
                <w:szCs w:val="28"/>
              </w:rPr>
            </w:pPr>
            <w:r>
              <w:rPr>
                <w:sz w:val="28"/>
                <w:szCs w:val="28"/>
              </w:rPr>
              <w:t>Екологічна політика (далі - ЕП) Інвестора є основою для встановлення екологічних цілей та завдань.</w:t>
            </w:r>
          </w:p>
          <w:p>
            <w:pPr>
              <w:pStyle w:val="11"/>
              <w:shd w:val="clear" w:color="auto" w:fill="auto"/>
              <w:tabs>
                <w:tab w:val="left" w:pos="1134"/>
                <w:tab w:val="left" w:pos="1418"/>
              </w:tabs>
              <w:spacing w:after="0" w:line="240" w:lineRule="auto"/>
              <w:rPr>
                <w:sz w:val="28"/>
                <w:szCs w:val="28"/>
              </w:rPr>
            </w:pPr>
          </w:p>
          <w:p>
            <w:pPr>
              <w:pStyle w:val="11"/>
              <w:shd w:val="clear" w:color="auto" w:fill="auto"/>
              <w:tabs>
                <w:tab w:val="left" w:pos="1134"/>
                <w:tab w:val="left" w:pos="1418"/>
              </w:tabs>
              <w:spacing w:after="0" w:line="240" w:lineRule="auto"/>
              <w:rPr>
                <w:sz w:val="28"/>
                <w:szCs w:val="28"/>
              </w:rPr>
            </w:pPr>
            <w:r>
              <w:rPr>
                <w:sz w:val="28"/>
                <w:szCs w:val="28"/>
              </w:rPr>
              <w:t>Механізм реалізації ЕП базується на обґрунтованому узгодженні екологічних, економічних та соціальних інтересів суспільства, в основу якого покладено поєднання міждисциплінарних знань екологічних, економічних та технічних наук.</w:t>
            </w:r>
          </w:p>
          <w:p>
            <w:pPr>
              <w:pStyle w:val="11"/>
              <w:shd w:val="clear" w:color="auto" w:fill="auto"/>
              <w:tabs>
                <w:tab w:val="left" w:pos="1134"/>
                <w:tab w:val="left" w:pos="1418"/>
              </w:tabs>
              <w:spacing w:after="0" w:line="240" w:lineRule="auto"/>
              <w:rPr>
                <w:sz w:val="28"/>
                <w:szCs w:val="28"/>
              </w:rPr>
            </w:pPr>
          </w:p>
          <w:p>
            <w:pPr>
              <w:pStyle w:val="11"/>
              <w:shd w:val="clear" w:color="auto" w:fill="auto"/>
              <w:tabs>
                <w:tab w:val="left" w:pos="1134"/>
                <w:tab w:val="left" w:pos="1418"/>
              </w:tabs>
              <w:spacing w:after="240" w:line="240" w:lineRule="auto"/>
              <w:rPr>
                <w:sz w:val="28"/>
                <w:szCs w:val="28"/>
              </w:rPr>
            </w:pPr>
            <w:r>
              <w:rPr>
                <w:sz w:val="28"/>
                <w:szCs w:val="28"/>
              </w:rPr>
              <w:t>Основними важелями механізму реалізації ЕП є:</w:t>
            </w: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Планування діяльності Інвестора та його об'єктів у галузі охорони Навколишнього природного середовища та екологічної безпеки.</w:t>
            </w: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 xml:space="preserve">Впровадження гнучкої структур системи екологічного управління по вертикалі та горизонталі з чітко визначеними функціями та відповідальністю на ланках </w:t>
            </w:r>
            <w:r>
              <w:rPr>
                <w:sz w:val="28"/>
                <w:szCs w:val="28"/>
                <w:lang w:eastAsia="ru-RU"/>
              </w:rPr>
              <w:t>"</w:t>
            </w:r>
            <w:r>
              <w:rPr>
                <w:sz w:val="28"/>
                <w:szCs w:val="28"/>
              </w:rPr>
              <w:t>апарат</w:t>
            </w:r>
            <w:r>
              <w:rPr>
                <w:sz w:val="28"/>
                <w:szCs w:val="28"/>
                <w:lang w:eastAsia="ru-RU"/>
              </w:rPr>
              <w:t xml:space="preserve">" - </w:t>
            </w:r>
            <w:r>
              <w:rPr>
                <w:sz w:val="28"/>
                <w:szCs w:val="28"/>
              </w:rPr>
              <w:t xml:space="preserve">"філія" </w:t>
            </w:r>
            <w:r>
              <w:rPr>
                <w:sz w:val="28"/>
                <w:szCs w:val="28"/>
                <w:lang w:eastAsia="ru-RU"/>
              </w:rPr>
              <w:t>- "</w:t>
            </w:r>
            <w:r>
              <w:rPr>
                <w:sz w:val="28"/>
                <w:szCs w:val="28"/>
              </w:rPr>
              <w:t>структурний підрозділ".</w:t>
            </w: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 xml:space="preserve">Організація системи підготовки та перепідготовки кадрів, підвищення кваліфікації, введення кваліфікаційних вимог для всіх посадових осіб з питань охорони </w:t>
            </w:r>
            <w:r>
              <w:rPr>
                <w:sz w:val="28"/>
                <w:szCs w:val="28"/>
                <w:lang w:eastAsia="ru-RU"/>
              </w:rPr>
              <w:t>Навколишнього</w:t>
            </w:r>
            <w:r>
              <w:rPr>
                <w:sz w:val="28"/>
                <w:szCs w:val="28"/>
              </w:rPr>
              <w:t xml:space="preserve"> природного середовища.</w:t>
            </w: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Організація вивчення та застосування на практиці кожним працівником Інвестора законодавчих та інших вимог, що відносяться до екологічних аспектів діяльності Інвестора.</w:t>
            </w:r>
          </w:p>
          <w:p>
            <w:pPr>
              <w:pStyle w:val="11"/>
              <w:shd w:val="clear" w:color="auto" w:fill="auto"/>
              <w:tabs>
                <w:tab w:val="left" w:pos="1134"/>
                <w:tab w:val="left" w:pos="1418"/>
              </w:tabs>
              <w:spacing w:after="240" w:line="240" w:lineRule="auto"/>
              <w:ind w:left="720"/>
              <w:rPr>
                <w:sz w:val="28"/>
                <w:szCs w:val="28"/>
              </w:rPr>
            </w:pP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Удосконалення системи екологічного навчання працівників Інвестора.</w:t>
            </w: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Залучення усіх працівників Інвестора у діяльність, пов'язану з системою екологічного управління.</w:t>
            </w: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Забезпечення подання звітності про функціонування системи екологічного управління, включаючи показники екологічної діяльності.</w:t>
            </w: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 xml:space="preserve">Забезпечення введення виробничих об'єктів в експлуатацію з обов'язковим будівництвом природоохоронних об'єктів за рахунок власних і кредитних коштів, коштів держбюджету (або місцевого), іноземних інвестицій, фондів охорони </w:t>
            </w:r>
            <w:r>
              <w:rPr>
                <w:sz w:val="28"/>
                <w:szCs w:val="28"/>
                <w:lang w:eastAsia="ru-RU"/>
              </w:rPr>
              <w:t>Навколишнього</w:t>
            </w:r>
            <w:r>
              <w:rPr>
                <w:sz w:val="28"/>
                <w:szCs w:val="28"/>
              </w:rPr>
              <w:t xml:space="preserve"> природного середовища всіх рівнів.</w:t>
            </w: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Підвищення ефективності НДДКР у сфері охорони Навколишнього природного середовища та раціонального використання природних ресурсів.</w:t>
            </w: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Підтримка та постійне вдосконалення корпоративної системи екологічного управління, заснованої відповідно до стандарту "Системи екологічного управління. Вимоги та настанови щодо застосування" (ДСТУ ISO 14001:2015).</w:t>
            </w: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Встановлення чітких екологічних цілей, спрямованих на зниження негативного впливу на Навколишнє природне середовище та забезпечення необхідними ресурсами заходів по їх досягненню.</w:t>
            </w: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Обов'язковий облік екологічних аспектів та оцінка ризиків при плануванні діяльності, розробці та реалізації інвестиційних проектів.</w:t>
            </w: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Ведення виробничого екологічного контролю та моніторингу, проведення оцінки впливу господарської діяльності Інвестора на довкілля.</w:t>
            </w: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Участь Інвестора в програмах та проектах, направлених на досягнення сталого розвитку Навколишнього природного середовища.</w:t>
            </w: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Застосування найкращих доступних технологій на різних стадіях виробничої діяльності, включаючи закупівлю технологій, матеріалів, обладнання.</w:t>
            </w: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Страхування екологічних ризиків (відповідно до умов Угоди).</w:t>
            </w:r>
          </w:p>
          <w:p>
            <w:pPr>
              <w:pStyle w:val="11"/>
              <w:numPr>
                <w:ilvl w:val="0"/>
                <w:numId w:val="10"/>
              </w:numPr>
              <w:shd w:val="clear" w:color="auto" w:fill="auto"/>
              <w:tabs>
                <w:tab w:val="left" w:pos="1134"/>
                <w:tab w:val="left" w:pos="1418"/>
              </w:tabs>
              <w:spacing w:after="240" w:line="240" w:lineRule="auto"/>
              <w:rPr>
                <w:sz w:val="28"/>
                <w:szCs w:val="28"/>
              </w:rPr>
            </w:pPr>
            <w:r>
              <w:rPr>
                <w:sz w:val="28"/>
                <w:szCs w:val="28"/>
              </w:rPr>
              <w:t>Взаємодія з організаціями та особами, заінтересованими у підвищенні екологічної безпеки Інвестора.</w:t>
            </w:r>
          </w:p>
          <w:p>
            <w:pPr>
              <w:pStyle w:val="11"/>
              <w:shd w:val="clear" w:color="auto" w:fill="auto"/>
              <w:tabs>
                <w:tab w:val="left" w:pos="1134"/>
                <w:tab w:val="left" w:pos="1418"/>
              </w:tabs>
              <w:spacing w:after="0"/>
              <w:ind w:left="360"/>
              <w:rPr>
                <w:sz w:val="28"/>
                <w:szCs w:val="28"/>
              </w:rPr>
            </w:pPr>
            <w:r>
              <w:rPr>
                <w:sz w:val="28"/>
                <w:szCs w:val="28"/>
              </w:rPr>
              <w:t>Основними напрямами здійснення міжнародного співробітництва з питань екології та</w:t>
            </w:r>
          </w:p>
          <w:p>
            <w:pPr>
              <w:pStyle w:val="11"/>
              <w:shd w:val="clear" w:color="auto" w:fill="auto"/>
              <w:tabs>
                <w:tab w:val="left" w:pos="1134"/>
                <w:tab w:val="left" w:pos="1418"/>
              </w:tabs>
              <w:spacing w:after="0" w:line="240" w:lineRule="auto"/>
              <w:ind w:left="360"/>
              <w:rPr>
                <w:sz w:val="28"/>
                <w:szCs w:val="28"/>
              </w:rPr>
            </w:pPr>
            <w:r>
              <w:rPr>
                <w:sz w:val="28"/>
                <w:szCs w:val="28"/>
              </w:rPr>
              <w:t>ресурсозбереження є:</w:t>
            </w:r>
          </w:p>
          <w:p>
            <w:pPr>
              <w:pStyle w:val="11"/>
              <w:shd w:val="clear" w:color="auto" w:fill="auto"/>
              <w:tabs>
                <w:tab w:val="left" w:pos="1134"/>
                <w:tab w:val="left" w:pos="1418"/>
              </w:tabs>
              <w:spacing w:after="0" w:line="240" w:lineRule="auto"/>
              <w:ind w:left="360"/>
              <w:rPr>
                <w:sz w:val="28"/>
                <w:szCs w:val="28"/>
              </w:rPr>
            </w:pPr>
          </w:p>
          <w:p>
            <w:pPr>
              <w:pStyle w:val="11"/>
              <w:numPr>
                <w:ilvl w:val="0"/>
                <w:numId w:val="11"/>
              </w:numPr>
              <w:shd w:val="clear" w:color="auto" w:fill="auto"/>
              <w:tabs>
                <w:tab w:val="left" w:pos="1134"/>
                <w:tab w:val="left" w:pos="1418"/>
              </w:tabs>
              <w:spacing w:after="0" w:line="240" w:lineRule="auto"/>
              <w:rPr>
                <w:sz w:val="28"/>
                <w:szCs w:val="28"/>
              </w:rPr>
            </w:pPr>
            <w:r>
              <w:rPr>
                <w:sz w:val="28"/>
                <w:szCs w:val="28"/>
              </w:rPr>
              <w:t>Розвиток співробітництва з провідними світовими нафтогазовими компаніями.</w:t>
            </w:r>
          </w:p>
          <w:p>
            <w:pPr>
              <w:pStyle w:val="11"/>
              <w:numPr>
                <w:ilvl w:val="0"/>
                <w:numId w:val="11"/>
              </w:numPr>
              <w:shd w:val="clear" w:color="auto" w:fill="auto"/>
              <w:tabs>
                <w:tab w:val="left" w:pos="1134"/>
                <w:tab w:val="left" w:pos="1418"/>
              </w:tabs>
              <w:spacing w:after="0" w:line="240" w:lineRule="auto"/>
              <w:rPr>
                <w:sz w:val="28"/>
                <w:szCs w:val="28"/>
              </w:rPr>
            </w:pPr>
            <w:r>
              <w:rPr>
                <w:sz w:val="28"/>
                <w:szCs w:val="28"/>
              </w:rPr>
              <w:t>Приведення норм, нормативних матеріалів та документів звітності відповідно до міжнародних вимог.</w:t>
            </w:r>
          </w:p>
          <w:p>
            <w:pPr>
              <w:pStyle w:val="11"/>
              <w:numPr>
                <w:ilvl w:val="0"/>
                <w:numId w:val="11"/>
              </w:numPr>
              <w:shd w:val="clear" w:color="auto" w:fill="auto"/>
              <w:tabs>
                <w:tab w:val="left" w:pos="1134"/>
                <w:tab w:val="left" w:pos="1418"/>
              </w:tabs>
              <w:spacing w:after="0" w:line="240" w:lineRule="auto"/>
              <w:rPr>
                <w:sz w:val="28"/>
                <w:szCs w:val="28"/>
              </w:rPr>
            </w:pPr>
            <w:r>
              <w:rPr>
                <w:sz w:val="28"/>
                <w:szCs w:val="28"/>
              </w:rPr>
              <w:t>Забезпечення міжнародного співробітництва та робота з міжнародними організаціями, установами, у питаннях, пов'язаних з захистом Навколишнього природного середовища та раціонального використання природних ресурсів.</w:t>
            </w:r>
          </w:p>
          <w:p>
            <w:pPr>
              <w:pStyle w:val="11"/>
              <w:numPr>
                <w:ilvl w:val="0"/>
                <w:numId w:val="11"/>
              </w:numPr>
              <w:shd w:val="clear" w:color="auto" w:fill="auto"/>
              <w:tabs>
                <w:tab w:val="left" w:pos="1134"/>
                <w:tab w:val="left" w:pos="1418"/>
              </w:tabs>
              <w:spacing w:after="0" w:line="240" w:lineRule="auto"/>
              <w:rPr>
                <w:sz w:val="28"/>
                <w:szCs w:val="28"/>
              </w:rPr>
            </w:pPr>
            <w:r>
              <w:rPr>
                <w:sz w:val="28"/>
                <w:szCs w:val="28"/>
              </w:rPr>
              <w:t xml:space="preserve">Здійснення діяльності, пов'язаної з виконанням зобов'язань, що випливають із ратифікованих конвенцій, міжнародних угод у сфері охорони </w:t>
            </w:r>
            <w:r>
              <w:rPr>
                <w:sz w:val="28"/>
                <w:szCs w:val="28"/>
                <w:lang w:eastAsia="ru-RU"/>
              </w:rPr>
              <w:t>Навколишнього</w:t>
            </w:r>
            <w:r>
              <w:rPr>
                <w:sz w:val="28"/>
                <w:szCs w:val="28"/>
              </w:rPr>
              <w:t xml:space="preserve"> природного середовища, відтворення та використання природних ресурсів, екологічної безпеки, що реалізується Інвестором.</w:t>
            </w:r>
          </w:p>
          <w:p>
            <w:pPr>
              <w:pStyle w:val="11"/>
              <w:numPr>
                <w:ilvl w:val="0"/>
                <w:numId w:val="11"/>
              </w:numPr>
              <w:shd w:val="clear" w:color="auto" w:fill="auto"/>
              <w:tabs>
                <w:tab w:val="left" w:pos="1134"/>
                <w:tab w:val="left" w:pos="1418"/>
              </w:tabs>
              <w:spacing w:after="0" w:line="240" w:lineRule="auto"/>
              <w:rPr>
                <w:sz w:val="28"/>
                <w:szCs w:val="28"/>
              </w:rPr>
            </w:pPr>
            <w:r>
              <w:rPr>
                <w:sz w:val="28"/>
                <w:szCs w:val="28"/>
              </w:rPr>
              <w:t>Координація роботи з виконання домовленостей в рамках Угоди про асоціацію між Україною та Європейським союзом, Європейським співтовариством з атомної енергії і їхніми державами-членами в сфері екологічної безпеки.</w:t>
            </w:r>
          </w:p>
          <w:p>
            <w:pPr>
              <w:pStyle w:val="11"/>
              <w:numPr>
                <w:ilvl w:val="0"/>
                <w:numId w:val="11"/>
              </w:numPr>
              <w:shd w:val="clear" w:color="auto" w:fill="auto"/>
              <w:tabs>
                <w:tab w:val="left" w:pos="1134"/>
                <w:tab w:val="left" w:pos="1418"/>
              </w:tabs>
              <w:spacing w:after="0" w:line="240" w:lineRule="auto"/>
              <w:rPr>
                <w:sz w:val="28"/>
                <w:szCs w:val="28"/>
              </w:rPr>
            </w:pPr>
            <w:r>
              <w:rPr>
                <w:sz w:val="28"/>
                <w:szCs w:val="28"/>
              </w:rPr>
              <w:t>Узгодження методик статистичної обробки результатів аналітичних досліджень та інформації щодо охорони довкілля.</w:t>
            </w:r>
          </w:p>
          <w:p>
            <w:pPr>
              <w:pStyle w:val="11"/>
              <w:numPr>
                <w:ilvl w:val="0"/>
                <w:numId w:val="11"/>
              </w:numPr>
              <w:shd w:val="clear" w:color="auto" w:fill="auto"/>
              <w:tabs>
                <w:tab w:val="left" w:pos="1134"/>
                <w:tab w:val="left" w:pos="1418"/>
              </w:tabs>
              <w:spacing w:after="0" w:line="240" w:lineRule="auto"/>
              <w:rPr>
                <w:sz w:val="28"/>
                <w:szCs w:val="28"/>
              </w:rPr>
            </w:pPr>
            <w:r>
              <w:rPr>
                <w:sz w:val="28"/>
                <w:szCs w:val="28"/>
              </w:rPr>
              <w:t>Застосування заходів з залучення іноземних інвестицій для вирішення актуальних проблем природокористування, підвищення рівня техногенної та екологічної безпеки, в тому числі заміни озоноруйнівних речовин, які використовуються у технологічних процесах газовидобувної галузі згідно з Монреальським протоколом про речовини, що руйнують озоновий шар, та постановою Кабінету Міністрів України від 17.10.1996 р. № 1274 "Про Програму припинення виробництва та використання озоноруйнуючих речовин".</w:t>
            </w:r>
          </w:p>
          <w:p>
            <w:pPr>
              <w:pStyle w:val="11"/>
              <w:shd w:val="clear" w:color="auto" w:fill="auto"/>
              <w:tabs>
                <w:tab w:val="left" w:pos="1134"/>
                <w:tab w:val="left" w:pos="1418"/>
              </w:tabs>
              <w:spacing w:after="0" w:line="240" w:lineRule="auto"/>
              <w:rPr>
                <w:sz w:val="28"/>
                <w:szCs w:val="28"/>
              </w:rPr>
            </w:pPr>
          </w:p>
          <w:p>
            <w:pPr>
              <w:pStyle w:val="DodatokStyle1"/>
              <w:rPr>
                <w:rFonts w:cs="Times New Roman"/>
                <w:color w:val="auto"/>
                <w:sz w:val="28"/>
                <w:szCs w:val="28"/>
              </w:rPr>
            </w:pPr>
            <w:r>
              <w:rPr>
                <w:rFonts w:cs="Times New Roman"/>
                <w:color w:val="auto"/>
                <w:sz w:val="28"/>
                <w:szCs w:val="28"/>
              </w:rPr>
              <w:t>Технологічні рішення та заходи, які передбачається здійснювати для захисту</w:t>
            </w:r>
            <w:r>
              <w:rPr>
                <w:rFonts w:cs="Times New Roman"/>
                <w:color w:val="auto"/>
                <w:sz w:val="28"/>
                <w:szCs w:val="28"/>
              </w:rPr>
              <w:br/>
              <w:t>атмосферного повітря та запобігання викидам парникових газів, а також</w:t>
            </w:r>
            <w:r>
              <w:rPr>
                <w:rFonts w:cs="Times New Roman"/>
                <w:color w:val="auto"/>
                <w:sz w:val="28"/>
                <w:szCs w:val="28"/>
              </w:rPr>
              <w:br/>
              <w:t xml:space="preserve">інші заходи, спрямовані на охорону надр і </w:t>
            </w:r>
            <w:r>
              <w:rPr>
                <w:rFonts w:cs="Times New Roman"/>
                <w:color w:val="auto"/>
                <w:sz w:val="28"/>
                <w:szCs w:val="28"/>
                <w:lang w:eastAsia="ru-RU"/>
              </w:rPr>
              <w:t>Навколишнього</w:t>
            </w:r>
            <w:r>
              <w:rPr>
                <w:rFonts w:cs="Times New Roman"/>
                <w:color w:val="auto"/>
                <w:sz w:val="28"/>
                <w:szCs w:val="28"/>
              </w:rPr>
              <w:t xml:space="preserve"> природного</w:t>
            </w:r>
            <w:r>
              <w:rPr>
                <w:rFonts w:cs="Times New Roman"/>
                <w:color w:val="auto"/>
                <w:sz w:val="28"/>
                <w:szCs w:val="28"/>
              </w:rPr>
              <w:br/>
              <w:t>середовища</w:t>
            </w:r>
          </w:p>
          <w:p>
            <w:pPr>
              <w:pStyle w:val="11"/>
              <w:shd w:val="clear" w:color="auto" w:fill="auto"/>
              <w:tabs>
                <w:tab w:val="left" w:pos="1134"/>
                <w:tab w:val="left" w:pos="1418"/>
              </w:tabs>
              <w:spacing w:after="0" w:line="240" w:lineRule="auto"/>
              <w:ind w:firstLine="740"/>
              <w:rPr>
                <w:sz w:val="28"/>
                <w:szCs w:val="28"/>
              </w:rPr>
            </w:pPr>
            <w:r>
              <w:rPr>
                <w:sz w:val="28"/>
                <w:szCs w:val="28"/>
              </w:rPr>
              <w:t xml:space="preserve">Інвестор зобов'язується вчиняти необхідні дії та вживати заходів із запобігання забрудненню, ліквідації наслідків шкідливого впливу на довкілля та здоров'я людей, а також для захисту </w:t>
            </w:r>
            <w:r>
              <w:rPr>
                <w:sz w:val="28"/>
                <w:szCs w:val="28"/>
                <w:lang w:eastAsia="ru-RU"/>
              </w:rPr>
              <w:t>Навколишнього</w:t>
            </w:r>
            <w:r>
              <w:rPr>
                <w:sz w:val="28"/>
                <w:szCs w:val="28"/>
              </w:rPr>
              <w:t xml:space="preserve"> природного середовища (фауни та флори), водних ресурсів та будь-яких інших природних ресурсів при здійсненні операцій з вуглеводнями відповідно до Законодавства України та належної практики діяльності в нафтогазовій промисловості, в аналогічних фізичних та екологічних середовищах.</w:t>
            </w:r>
          </w:p>
          <w:p>
            <w:pPr>
              <w:pStyle w:val="11"/>
              <w:shd w:val="clear" w:color="auto" w:fill="auto"/>
              <w:tabs>
                <w:tab w:val="left" w:pos="1134"/>
                <w:tab w:val="left" w:pos="1418"/>
              </w:tabs>
              <w:spacing w:after="0" w:line="240" w:lineRule="auto"/>
              <w:ind w:firstLine="740"/>
              <w:rPr>
                <w:sz w:val="28"/>
                <w:szCs w:val="28"/>
              </w:rPr>
            </w:pPr>
            <w:r>
              <w:rPr>
                <w:sz w:val="28"/>
                <w:szCs w:val="28"/>
              </w:rPr>
              <w:t>Інвестор зобов'язується докладати обґрунтовані зусилля для недопущення будь- якого негативного впливу на ділянки, які належать до природно-заповідного фонду України, що може виникати безпосередньо в результаті операцій з вуглеводнями, відповідно до Законодавства України та належної практики діяльності в нафтогазовій промисловості.</w:t>
            </w:r>
          </w:p>
          <w:p>
            <w:pPr>
              <w:pStyle w:val="11"/>
              <w:shd w:val="clear" w:color="auto" w:fill="auto"/>
              <w:tabs>
                <w:tab w:val="left" w:pos="1134"/>
                <w:tab w:val="left" w:pos="1418"/>
              </w:tabs>
              <w:spacing w:after="240" w:line="240" w:lineRule="auto"/>
              <w:ind w:firstLine="740"/>
              <w:rPr>
                <w:sz w:val="28"/>
                <w:szCs w:val="28"/>
              </w:rPr>
            </w:pPr>
            <w:r>
              <w:rPr>
                <w:sz w:val="28"/>
                <w:szCs w:val="28"/>
              </w:rPr>
              <w:t>В рамках виконання Угоди Інвестор зобов'язується вживати заходи щодо охорони надр, Навколишнього природного середовища, атмосферного повітря та раціонального використання надр, в тому числі використовувати наступні технологічні рішення та заходи для захисту атмосферного повітря та запобігання викидам парникових газів, а також інші заходи, спрямовані на охорону надр і Навколишнього природного середовища:</w:t>
            </w:r>
          </w:p>
          <w:p>
            <w:pPr>
              <w:pStyle w:val="DodatokStyle1"/>
              <w:numPr>
                <w:ilvl w:val="0"/>
                <w:numId w:val="7"/>
              </w:numPr>
              <w:rPr>
                <w:rFonts w:cs="Times New Roman"/>
                <w:color w:val="auto"/>
                <w:sz w:val="28"/>
                <w:szCs w:val="28"/>
              </w:rPr>
            </w:pPr>
            <w:bookmarkStart w:id="12" w:name="bookmark141"/>
            <w:bookmarkStart w:id="13" w:name="bookmark142"/>
            <w:r>
              <w:rPr>
                <w:rFonts w:cs="Times New Roman"/>
                <w:color w:val="auto"/>
                <w:sz w:val="28"/>
                <w:szCs w:val="28"/>
              </w:rPr>
              <w:t>Використання безамбарного способу буріння</w:t>
            </w:r>
            <w:bookmarkEnd w:id="12"/>
            <w:bookmarkEnd w:id="13"/>
          </w:p>
          <w:p>
            <w:pPr>
              <w:pStyle w:val="11"/>
              <w:shd w:val="clear" w:color="auto" w:fill="auto"/>
              <w:tabs>
                <w:tab w:val="left" w:pos="1134"/>
                <w:tab w:val="left" w:pos="1418"/>
              </w:tabs>
              <w:spacing w:after="0" w:line="240" w:lineRule="auto"/>
              <w:ind w:firstLine="740"/>
              <w:rPr>
                <w:sz w:val="28"/>
                <w:szCs w:val="28"/>
              </w:rPr>
            </w:pPr>
            <w:r>
              <w:rPr>
                <w:sz w:val="28"/>
                <w:szCs w:val="28"/>
              </w:rPr>
              <w:t>Технологія безамбарного буріння використовується для зменшення забруднення довкілля. Вона значно знижує вплив на родючі ґрунти та обсяги виробничих відходів. Безамбарне буріння впроваджується як засіб організації економічно та екологічно ефективного будівництва пошуково-розвідувальних і експлуатаційних свердловин, видобутку сировини. Вона дозволяє повніше, раціонально і комплексно здійснювати освоєння та охорону надр, вирішувати природоохоронні завдання із дотриманням норм екологічної безпеки.</w:t>
            </w:r>
          </w:p>
          <w:p>
            <w:pPr>
              <w:pStyle w:val="11"/>
              <w:shd w:val="clear" w:color="auto" w:fill="auto"/>
              <w:tabs>
                <w:tab w:val="left" w:pos="1134"/>
                <w:tab w:val="left" w:pos="1418"/>
              </w:tabs>
              <w:spacing w:after="0" w:line="240" w:lineRule="auto"/>
              <w:ind w:firstLine="740"/>
              <w:rPr>
                <w:sz w:val="28"/>
                <w:szCs w:val="28"/>
              </w:rPr>
            </w:pPr>
            <w:r>
              <w:rPr>
                <w:sz w:val="28"/>
                <w:szCs w:val="28"/>
              </w:rPr>
              <w:t>Технологія безамбарного буріння дає змогу провадити очищення та нейтралізації забруднених бурового розчину та бурового шламу що надходять із свердловини на спеціальних установках без використання котлованів-відстійників. Цикл повторного водоспоживання стає замкнутим, знижується ємкісний парк. Для дотримання природоохоронних вимог щодо очищення застосовується спеціально розроблений токсикологічний контроль (моніторинг). Екологічно позитивним чинником є скорочення землевідведення під амбари, виключаються порушення довкілля під час будівництва і експлуатації, уникнення потрапляння забруднювачів у водоносні горизонти.</w:t>
            </w:r>
          </w:p>
          <w:p>
            <w:pPr>
              <w:pStyle w:val="11"/>
              <w:shd w:val="clear" w:color="auto" w:fill="auto"/>
              <w:tabs>
                <w:tab w:val="left" w:pos="1134"/>
                <w:tab w:val="left" w:pos="1418"/>
              </w:tabs>
              <w:spacing w:after="0" w:line="240" w:lineRule="auto"/>
              <w:ind w:firstLine="740"/>
              <w:rPr>
                <w:sz w:val="28"/>
                <w:szCs w:val="28"/>
              </w:rPr>
            </w:pPr>
            <w:r>
              <w:rPr>
                <w:sz w:val="28"/>
                <w:szCs w:val="28"/>
              </w:rPr>
              <w:t>Технологія організації безамбарного способу буріння вимагає максимального видалення з відходів буріння, твердої фази з подальшою її утилізацією та повторного використання рідкої фази, після її очищення та нейтралізації. Для реалізації технології безамбарного буріння додатково обладнуються блоки очистки бурового розчину кожного верстату додатковими центрифугами, транспортерами (конвеєрами) та коагуляційно- флокуляційними блоками (КФБ), технологією зневоднення та нейтралізації бурових шламів.</w:t>
            </w:r>
          </w:p>
          <w:p>
            <w:pPr>
              <w:pStyle w:val="11"/>
              <w:shd w:val="clear" w:color="auto" w:fill="auto"/>
              <w:tabs>
                <w:tab w:val="left" w:pos="1134"/>
                <w:tab w:val="left" w:pos="1418"/>
              </w:tabs>
              <w:spacing w:after="0" w:line="240" w:lineRule="auto"/>
              <w:ind w:firstLine="720"/>
              <w:rPr>
                <w:sz w:val="28"/>
                <w:szCs w:val="28"/>
              </w:rPr>
            </w:pPr>
            <w:r>
              <w:rPr>
                <w:sz w:val="28"/>
                <w:szCs w:val="28"/>
              </w:rPr>
              <w:t>У випадку використання баритового обважнювача є потреба в регенерації бариту з поверненням в активну систему до 75% бариту шляхом встановлення додаткових двох модулів регульованих центрифуг типу ОГШ (або аналог).</w:t>
            </w:r>
          </w:p>
          <w:p>
            <w:pPr>
              <w:pStyle w:val="11"/>
              <w:shd w:val="clear" w:color="auto" w:fill="auto"/>
              <w:tabs>
                <w:tab w:val="left" w:pos="1134"/>
                <w:tab w:val="left" w:pos="1418"/>
              </w:tabs>
              <w:spacing w:after="240" w:line="240" w:lineRule="auto"/>
              <w:ind w:firstLine="720"/>
              <w:rPr>
                <w:sz w:val="28"/>
                <w:szCs w:val="28"/>
              </w:rPr>
            </w:pPr>
            <w:r>
              <w:rPr>
                <w:sz w:val="28"/>
                <w:szCs w:val="28"/>
              </w:rPr>
              <w:t>При регенерації спеціальні мобільні блоки з двома центрифугами працюють як в послідовному, так і паралельному режимах. Послідовна робота центрифуг дозволяє видаляти шкідливу тверду фазу з бурового розчину при збереженні баритового обважнювача для балансу питомої ваги. Паралельна робота центрифуг дозволяє інтенсивне вилучати барит з розчинів без додаткового розведення. Тверду фазу відходів буріння після зневоднення, проведення нейтралізації та лабораторного дослідження можливо використовувати як вторинну сировину.</w:t>
            </w:r>
          </w:p>
          <w:p>
            <w:pPr>
              <w:pStyle w:val="DodatokStyle1"/>
              <w:numPr>
                <w:ilvl w:val="0"/>
                <w:numId w:val="7"/>
              </w:numPr>
              <w:rPr>
                <w:rFonts w:cs="Times New Roman"/>
                <w:color w:val="auto"/>
                <w:sz w:val="28"/>
                <w:szCs w:val="28"/>
              </w:rPr>
            </w:pPr>
            <w:bookmarkStart w:id="14" w:name="bookmark143"/>
            <w:bookmarkStart w:id="15" w:name="bookmark144"/>
            <w:r>
              <w:rPr>
                <w:rFonts w:cs="Times New Roman"/>
                <w:color w:val="auto"/>
                <w:sz w:val="28"/>
                <w:szCs w:val="28"/>
              </w:rPr>
              <w:t>Гідроізоляція шламових амбарів</w:t>
            </w:r>
            <w:bookmarkEnd w:id="14"/>
            <w:bookmarkEnd w:id="15"/>
          </w:p>
          <w:p>
            <w:pPr>
              <w:pStyle w:val="11"/>
              <w:shd w:val="clear" w:color="auto" w:fill="auto"/>
              <w:tabs>
                <w:tab w:val="left" w:pos="1134"/>
                <w:tab w:val="left" w:pos="1418"/>
              </w:tabs>
              <w:spacing w:after="0" w:line="240" w:lineRule="auto"/>
              <w:ind w:firstLine="720"/>
              <w:rPr>
                <w:sz w:val="28"/>
                <w:szCs w:val="28"/>
              </w:rPr>
            </w:pPr>
            <w:r>
              <w:rPr>
                <w:sz w:val="28"/>
                <w:szCs w:val="28"/>
              </w:rPr>
              <w:t>При амбарному способі буріння, для збору відходів виробництва і захоронення відходів буріння передбачено будівництво накопичувальних амбарів з протифільтраційним екраном.</w:t>
            </w:r>
          </w:p>
          <w:p>
            <w:pPr>
              <w:pStyle w:val="11"/>
              <w:shd w:val="clear" w:color="auto" w:fill="auto"/>
              <w:tabs>
                <w:tab w:val="left" w:pos="1134"/>
                <w:tab w:val="left" w:pos="1418"/>
              </w:tabs>
              <w:spacing w:after="0" w:line="240" w:lineRule="auto"/>
              <w:ind w:firstLine="720"/>
              <w:rPr>
                <w:sz w:val="28"/>
                <w:szCs w:val="28"/>
              </w:rPr>
            </w:pPr>
            <w:r>
              <w:rPr>
                <w:sz w:val="28"/>
                <w:szCs w:val="28"/>
              </w:rPr>
              <w:t>Загальний об'єм амбарів визначають проектом, він повинен відповідати об'єму відходів буріння. Для збору відходів буріння встановлюються металеві ємності.</w:t>
            </w:r>
          </w:p>
          <w:p>
            <w:pPr>
              <w:pStyle w:val="11"/>
              <w:shd w:val="clear" w:color="auto" w:fill="auto"/>
              <w:tabs>
                <w:tab w:val="left" w:pos="1134"/>
                <w:tab w:val="left" w:pos="1418"/>
              </w:tabs>
              <w:spacing w:after="0" w:line="240" w:lineRule="auto"/>
              <w:ind w:firstLine="720"/>
              <w:rPr>
                <w:sz w:val="28"/>
                <w:szCs w:val="28"/>
              </w:rPr>
            </w:pPr>
            <w:r>
              <w:rPr>
                <w:sz w:val="28"/>
                <w:szCs w:val="28"/>
              </w:rPr>
              <w:t>Будівництво котлованів під амбари проводиться одноковшевим екскаватором з ковшем місткістю від 0,40 до 0,65 м3 та пристроєм для планування ґрунту або іншим відповідним механічним агрегатом.</w:t>
            </w:r>
          </w:p>
          <w:p>
            <w:pPr>
              <w:pStyle w:val="11"/>
              <w:shd w:val="clear" w:color="auto" w:fill="auto"/>
              <w:tabs>
                <w:tab w:val="left" w:pos="1134"/>
                <w:tab w:val="left" w:pos="1418"/>
              </w:tabs>
              <w:spacing w:after="0" w:line="240" w:lineRule="auto"/>
              <w:ind w:firstLine="720"/>
              <w:rPr>
                <w:sz w:val="28"/>
                <w:szCs w:val="28"/>
              </w:rPr>
            </w:pPr>
            <w:r>
              <w:rPr>
                <w:sz w:val="28"/>
                <w:szCs w:val="28"/>
              </w:rPr>
              <w:t>Після закінчення будівництва котлованів проводяться роботи з облаштування їх поверхні протифільтраційним екраном. При будівництві амбарів на буровому майданчику необхідно враховувати максимальний рівень ґрунтових вод (далі - РГВ). Відповідно до вимог СНіП 2.01.28-85 відстань від дна амбару до РГВ повинна бути не менше 2 м.</w:t>
            </w:r>
          </w:p>
          <w:p>
            <w:pPr>
              <w:pStyle w:val="11"/>
              <w:shd w:val="clear" w:color="auto" w:fill="auto"/>
              <w:tabs>
                <w:tab w:val="left" w:pos="1134"/>
                <w:tab w:val="left" w:pos="1418"/>
              </w:tabs>
              <w:spacing w:after="0" w:line="240" w:lineRule="auto"/>
              <w:ind w:firstLine="720"/>
              <w:rPr>
                <w:sz w:val="28"/>
                <w:szCs w:val="28"/>
              </w:rPr>
            </w:pPr>
            <w:r>
              <w:rPr>
                <w:sz w:val="28"/>
                <w:szCs w:val="28"/>
              </w:rPr>
              <w:t>З метою попередження забруднення першого водоносного горизонту з прісними водами рідкими та твердими відходами буріння, що будуть утворюватися в процесі спорудження свердловин, передбачається накопичення та захоронення їх в земляних гідроізольованих шламових амбарах на території бурової площадки.</w:t>
            </w:r>
          </w:p>
          <w:p>
            <w:pPr>
              <w:pStyle w:val="11"/>
              <w:shd w:val="clear" w:color="auto" w:fill="auto"/>
              <w:tabs>
                <w:tab w:val="left" w:pos="1134"/>
                <w:tab w:val="left" w:pos="1418"/>
              </w:tabs>
              <w:spacing w:after="120" w:line="240" w:lineRule="auto"/>
              <w:ind w:firstLine="720"/>
              <w:rPr>
                <w:sz w:val="28"/>
                <w:szCs w:val="28"/>
              </w:rPr>
            </w:pPr>
            <w:r>
              <w:rPr>
                <w:sz w:val="28"/>
                <w:szCs w:val="28"/>
              </w:rPr>
              <w:t>Згідно прийнятих технологічних рішень, розділів Робочих проектів "Оцінка впливу на навколишнє середовище" та Звітів з оцінки впливу на довкілля, при спорудженні свердловин накопичення та захоронення відходів буріння виконується в шламових амбарах, на дно та стінки яких наноситься колоїдно-хімічний протифільтраційний екран на основі водної суспензії гідролізованого поліакриламіду і бентонітової глини, на місці проведення бурових робіт. Також, згідно ГСТУ 41-00 032 626-00-007-97 "Галузевий стандарт України. Охорона довкілля. Спорудження розвідувальних експлуатаційних свердловин на нафту та газ на суші. Правила проведення робіт" передбачений варіант гідроізоляції шламових амбарів за допомогою протифільтраційних екранів із полімерних плівок або її аналогів (геомембран), які на даний час визначаються Робочими проектами. Геомембрана це є ізолюючий матеріал, що застосовується в будівництві для гідроізоляції. Хімічний склад геомембран різноманітній. Виділяють два основних види геомембран з поліетилену високих тисків та поліетилену низьких тисків. Найчастіше застосовують геомембрани вироблені з поліетилену високої або низької щільності, а також полівінілхлорид. Довговічність гідроізоляції за допомогою геомембран від 25 до 100 років з моменту установки. Так як, згідно Робочих проектів проводиться захоронення бурового шламу на місці їх накопичення (на території майданчика), то геомембрану недоцільно використовувати для гідроізоляції шламових амбарів з екологічної точки зору (захоронення нейтралізованих відходів разом з плівкою, а розкладання плівки від 25-100 років).</w:t>
            </w:r>
          </w:p>
          <w:p>
            <w:pPr>
              <w:pStyle w:val="DodatokStyle1"/>
              <w:numPr>
                <w:ilvl w:val="0"/>
                <w:numId w:val="7"/>
              </w:numPr>
              <w:rPr>
                <w:rFonts w:cs="Times New Roman"/>
                <w:color w:val="auto"/>
                <w:sz w:val="28"/>
                <w:szCs w:val="28"/>
              </w:rPr>
            </w:pPr>
            <w:bookmarkStart w:id="16" w:name="bookmark145"/>
            <w:bookmarkStart w:id="17" w:name="bookmark146"/>
            <w:r>
              <w:rPr>
                <w:rFonts w:cs="Times New Roman"/>
                <w:color w:val="auto"/>
                <w:sz w:val="28"/>
                <w:szCs w:val="28"/>
              </w:rPr>
              <w:t>Бентонітові мати, для попередження забруднення ґрунтів на бурових майданчиках, застосування геомембран</w:t>
            </w:r>
            <w:bookmarkEnd w:id="16"/>
            <w:bookmarkEnd w:id="17"/>
          </w:p>
          <w:p>
            <w:pPr>
              <w:pStyle w:val="11"/>
              <w:shd w:val="clear" w:color="auto" w:fill="auto"/>
              <w:tabs>
                <w:tab w:val="left" w:pos="1134"/>
                <w:tab w:val="left" w:pos="1418"/>
              </w:tabs>
              <w:spacing w:after="240" w:line="240" w:lineRule="auto"/>
              <w:ind w:firstLine="740"/>
              <w:rPr>
                <w:sz w:val="28"/>
                <w:szCs w:val="28"/>
              </w:rPr>
            </w:pPr>
            <w:r>
              <w:rPr>
                <w:sz w:val="28"/>
                <w:szCs w:val="28"/>
              </w:rPr>
              <w:t>З точки зору впливу на довкілля, при застосуванні, як гідроізоляційного матеріалу, бентонітових матів, замість геомембран що вироблені з поліетилену високого тиску або поліетилену низького тиску, перевагу мають бентонітови мати, основним компонентом якого є природна бентонітова глина, яка надає антитоксичну дію на ґрунтові води та дозволяє більш якісно використовувати матеріал для захисту ґрунтів. При взаємодії з водою природна бентонітова глина збільшується в обсязі, самостійно відновлюючи гідроізоляційні властивості при механічних пошкодженнях (проколи, проростання коренів і т.п.). Протифільтраційний екран, виконаний з бентонітових матів, має більш високі гідроізоляційні властивості в порівнянні з екранами з полімерних геомембран, має високу міцність, стійкість до розриву і пошкоджень, витримує гідростатичний тиск до 7 атмосфер. При застосуванні вплив низьких температур на матеріал незначний. Не потрібна спеціальна підготовка поверхні та зварювання швів. Укладання проводиться за допомогою загальнодоступної будівельної техніки.</w:t>
            </w:r>
          </w:p>
          <w:p>
            <w:pPr>
              <w:pStyle w:val="DodatokStyle1"/>
              <w:numPr>
                <w:ilvl w:val="0"/>
                <w:numId w:val="7"/>
              </w:numPr>
              <w:rPr>
                <w:rFonts w:cs="Times New Roman"/>
                <w:color w:val="auto"/>
                <w:sz w:val="28"/>
                <w:szCs w:val="28"/>
              </w:rPr>
            </w:pPr>
            <w:bookmarkStart w:id="18" w:name="bookmark147"/>
            <w:bookmarkStart w:id="19" w:name="bookmark148"/>
            <w:r>
              <w:rPr>
                <w:rFonts w:cs="Times New Roman"/>
                <w:color w:val="auto"/>
                <w:sz w:val="28"/>
                <w:szCs w:val="28"/>
              </w:rPr>
              <w:t>Технології зневоднення бурових шламів очистки та нейтралізації бурових стічних вод, твердої фракції відходів буріння</w:t>
            </w:r>
            <w:bookmarkEnd w:id="18"/>
            <w:bookmarkEnd w:id="19"/>
          </w:p>
          <w:p>
            <w:pPr>
              <w:pStyle w:val="11"/>
              <w:shd w:val="clear" w:color="auto" w:fill="auto"/>
              <w:tabs>
                <w:tab w:val="left" w:pos="1134"/>
                <w:tab w:val="left" w:pos="1418"/>
              </w:tabs>
              <w:spacing w:after="0" w:line="240" w:lineRule="auto"/>
              <w:ind w:firstLine="740"/>
              <w:rPr>
                <w:sz w:val="28"/>
                <w:szCs w:val="28"/>
              </w:rPr>
            </w:pPr>
            <w:r>
              <w:rPr>
                <w:sz w:val="28"/>
                <w:szCs w:val="28"/>
              </w:rPr>
              <w:t>Основним кінцевим продуктом утилізації шламів буріння є безпечний сухий залишок, який в подальшому використовується для шарування та збільшення дамб на полігонах твердих побутових відходів, при будівництві автомобільних доріг, засипання відпрацьованих кар'єрів, рекультивації стихійних сміттєзвалищ. Технології, які запропоновані, направлені на зменшення класу небезпеки відходу буріння та виділення сухого залишку з загальної маси відходів буріння з послідуючим поверненням супутньо- пластових вод та розчину у повторне використання.</w:t>
            </w:r>
          </w:p>
          <w:p>
            <w:pPr>
              <w:pStyle w:val="11"/>
              <w:shd w:val="clear" w:color="auto" w:fill="auto"/>
              <w:tabs>
                <w:tab w:val="left" w:pos="1134"/>
                <w:tab w:val="left" w:pos="1418"/>
              </w:tabs>
              <w:spacing w:after="0" w:line="240" w:lineRule="auto"/>
              <w:ind w:firstLine="740"/>
              <w:rPr>
                <w:sz w:val="28"/>
                <w:szCs w:val="28"/>
              </w:rPr>
            </w:pPr>
            <w:r>
              <w:rPr>
                <w:sz w:val="28"/>
                <w:szCs w:val="28"/>
              </w:rPr>
              <w:t>В умовах підвищеної стурбованості громадськості щодо екологічної безпеки виробничої діяльності газовидобувної галузі більш екологічними та виробничо доцільними для Інвестора шляхами вирішення проблемних питань у сфері поводження з відходами буріння, пропонується визначити напрямки:</w:t>
            </w:r>
          </w:p>
          <w:p>
            <w:pPr>
              <w:pStyle w:val="11"/>
              <w:numPr>
                <w:ilvl w:val="0"/>
                <w:numId w:val="8"/>
              </w:numPr>
              <w:shd w:val="clear" w:color="auto" w:fill="auto"/>
              <w:tabs>
                <w:tab w:val="left" w:pos="1134"/>
                <w:tab w:val="left" w:pos="1418"/>
              </w:tabs>
              <w:spacing w:after="0" w:line="240" w:lineRule="auto"/>
              <w:ind w:firstLine="740"/>
              <w:rPr>
                <w:sz w:val="28"/>
                <w:szCs w:val="28"/>
              </w:rPr>
            </w:pPr>
            <w:r>
              <w:rPr>
                <w:sz w:val="28"/>
                <w:szCs w:val="28"/>
              </w:rPr>
              <w:t>передачу відходів стороннім організаціям, які мають відповідні ліцензії/дозволи на поводження з такими відходами;</w:t>
            </w:r>
          </w:p>
          <w:p>
            <w:pPr>
              <w:pStyle w:val="11"/>
              <w:numPr>
                <w:ilvl w:val="0"/>
                <w:numId w:val="8"/>
              </w:numPr>
              <w:shd w:val="clear" w:color="auto" w:fill="auto"/>
              <w:tabs>
                <w:tab w:val="left" w:pos="1134"/>
                <w:tab w:val="left" w:pos="1418"/>
              </w:tabs>
              <w:spacing w:after="0" w:line="240" w:lineRule="auto"/>
              <w:ind w:firstLine="740"/>
              <w:rPr>
                <w:sz w:val="28"/>
                <w:szCs w:val="28"/>
              </w:rPr>
            </w:pPr>
            <w:r>
              <w:rPr>
                <w:sz w:val="28"/>
                <w:szCs w:val="28"/>
              </w:rPr>
              <w:t>застосування сучасних мобільних установок по обробці та повторному використанню відходів буріння.</w:t>
            </w:r>
          </w:p>
          <w:p>
            <w:pPr>
              <w:pStyle w:val="DodatokStyle1"/>
              <w:rPr>
                <w:rFonts w:cs="Times New Roman"/>
                <w:color w:val="auto"/>
                <w:sz w:val="28"/>
                <w:szCs w:val="28"/>
              </w:rPr>
            </w:pPr>
            <w:bookmarkStart w:id="20" w:name="bookmark149"/>
            <w:bookmarkStart w:id="21" w:name="bookmark150"/>
            <w:r>
              <w:rPr>
                <w:rFonts w:cs="Times New Roman"/>
                <w:color w:val="auto"/>
                <w:sz w:val="28"/>
                <w:szCs w:val="28"/>
              </w:rPr>
              <w:t>Нейтралізація відходів буріння</w:t>
            </w:r>
            <w:bookmarkEnd w:id="20"/>
            <w:bookmarkEnd w:id="21"/>
          </w:p>
          <w:p>
            <w:pPr>
              <w:pStyle w:val="11"/>
              <w:shd w:val="clear" w:color="auto" w:fill="auto"/>
              <w:tabs>
                <w:tab w:val="left" w:pos="1134"/>
                <w:tab w:val="left" w:pos="1418"/>
              </w:tabs>
              <w:spacing w:after="0" w:line="240" w:lineRule="auto"/>
              <w:ind w:firstLine="740"/>
              <w:rPr>
                <w:sz w:val="28"/>
                <w:szCs w:val="28"/>
              </w:rPr>
            </w:pPr>
            <w:r>
              <w:rPr>
                <w:sz w:val="28"/>
                <w:szCs w:val="28"/>
              </w:rPr>
              <w:t>Відповідно до положень ГСТУ 41-00 032 626-00-007-97 нейтралізація відходів буріння здійснюється шляхом введення у рідкі відходи буріння коагулянту для інтенсифікації осадження мінеральних і органічних забруднень шляхом їх коагуляції. У якості коагулянту використовується сульфат алюмінію, або інші коагулянти, згідно з прийнятими технічними рішеннями. Для зниження токсичності та з метою затвердіння напіврідких відходів буріння проводиться їх нейтралізація, яка досягається шляхом прискорення біологічного розкладу органічних сполук. Для цього в шламові амбари вводиться композиція, що містить фосфогіпс, солому та органічне добриво. Виконання цього комплексу робіт призводить до того, що напіврідкі відходи буріння перетворюють у тверду фазу.</w:t>
            </w:r>
          </w:p>
          <w:p>
            <w:pPr>
              <w:pStyle w:val="11"/>
              <w:shd w:val="clear" w:color="auto" w:fill="auto"/>
              <w:tabs>
                <w:tab w:val="left" w:pos="1134"/>
                <w:tab w:val="left" w:pos="1418"/>
              </w:tabs>
              <w:spacing w:after="0" w:line="240" w:lineRule="auto"/>
              <w:ind w:firstLine="740"/>
              <w:rPr>
                <w:sz w:val="28"/>
                <w:szCs w:val="28"/>
              </w:rPr>
            </w:pPr>
            <w:r>
              <w:rPr>
                <w:sz w:val="28"/>
                <w:szCs w:val="28"/>
              </w:rPr>
              <w:t>При невідповідності параметрів очищеної води нормативним показникам, відповідно до вимог ГСТУ 41-00 032 626-00-007-97 необхідно проводити її доочищення повторною обробкою коагулянтами і флокулянтами або іншими доступними методами, що визначені технічними рішеннями (фільтрація на піскових і гравійних площадках, обробка адсорбентами тощо).</w:t>
            </w:r>
          </w:p>
          <w:p>
            <w:pPr>
              <w:pStyle w:val="11"/>
              <w:shd w:val="clear" w:color="auto" w:fill="auto"/>
              <w:tabs>
                <w:tab w:val="left" w:pos="1134"/>
                <w:tab w:val="left" w:pos="1418"/>
              </w:tabs>
              <w:spacing w:after="0" w:line="240" w:lineRule="auto"/>
              <w:ind w:firstLine="740"/>
              <w:rPr>
                <w:sz w:val="28"/>
                <w:szCs w:val="28"/>
              </w:rPr>
            </w:pPr>
            <w:r>
              <w:rPr>
                <w:sz w:val="28"/>
                <w:szCs w:val="28"/>
              </w:rPr>
              <w:t>Після нейтралізації відходів буріння та виконання лабораторного аналізу очищеної води, передати її на повторне використання та/або проводити полив території бурового майданчика, тощо.</w:t>
            </w:r>
          </w:p>
          <w:p>
            <w:pPr>
              <w:pStyle w:val="11"/>
              <w:shd w:val="clear" w:color="auto" w:fill="auto"/>
              <w:tabs>
                <w:tab w:val="left" w:pos="1134"/>
                <w:tab w:val="left" w:pos="1418"/>
              </w:tabs>
              <w:spacing w:after="0" w:line="240" w:lineRule="auto"/>
              <w:ind w:firstLine="720"/>
              <w:rPr>
                <w:sz w:val="28"/>
                <w:szCs w:val="28"/>
              </w:rPr>
            </w:pPr>
            <w:r>
              <w:rPr>
                <w:sz w:val="28"/>
                <w:szCs w:val="28"/>
              </w:rPr>
              <w:t>У шламові амбари додається композиція, що містить фосфогіпс, солому і органічні добрива для прискорення біологічного розкладу органічних сполук. Орієнтовна концентрація компонентів: фосфогіпс - від 2,0 % до 3,0 %; солома - від 1,0% до 2,0 %; органічні добрива - від 3,0 % до 5,0 % від об'єму шламу.</w:t>
            </w:r>
          </w:p>
          <w:p>
            <w:pPr>
              <w:pStyle w:val="11"/>
              <w:shd w:val="clear" w:color="auto" w:fill="auto"/>
              <w:tabs>
                <w:tab w:val="left" w:pos="1134"/>
                <w:tab w:val="left" w:pos="1418"/>
              </w:tabs>
              <w:spacing w:after="0" w:line="240" w:lineRule="auto"/>
              <w:ind w:firstLine="720"/>
              <w:rPr>
                <w:sz w:val="28"/>
                <w:szCs w:val="28"/>
              </w:rPr>
            </w:pPr>
            <w:r>
              <w:rPr>
                <w:sz w:val="28"/>
                <w:szCs w:val="28"/>
              </w:rPr>
              <w:t>Твердий шлам повинен бути рівномірно розподілений між шламовими амбарами.</w:t>
            </w:r>
          </w:p>
          <w:p>
            <w:pPr>
              <w:pStyle w:val="11"/>
              <w:shd w:val="clear" w:color="auto" w:fill="auto"/>
              <w:tabs>
                <w:tab w:val="left" w:pos="1134"/>
                <w:tab w:val="left" w:pos="1418"/>
              </w:tabs>
              <w:spacing w:after="240" w:line="240" w:lineRule="auto"/>
              <w:ind w:firstLine="720"/>
              <w:rPr>
                <w:sz w:val="28"/>
                <w:szCs w:val="28"/>
              </w:rPr>
            </w:pPr>
            <w:r>
              <w:rPr>
                <w:sz w:val="28"/>
                <w:szCs w:val="28"/>
              </w:rPr>
              <w:t>Зневоднені шламові амбари засипаються мінеральним ґрунтом. Товщина шару насипного мінерального ґрунту повинна бути не менше 80 см, згідно з вимогами ГСТУ 41-00032626-00-023-2000 "Охорона довкілля. Рекультивація земель під час спорудження нафтових і газових свердловин"." Підрядні організації обов'язково повинні мати підтверджений досвід з надання вищевказаних послуг підприємствам нафтогазового комплексу.</w:t>
            </w:r>
          </w:p>
          <w:p>
            <w:pPr>
              <w:pStyle w:val="DodatokStyle1"/>
              <w:rPr>
                <w:rFonts w:cs="Times New Roman"/>
                <w:color w:val="auto"/>
                <w:sz w:val="28"/>
                <w:szCs w:val="28"/>
              </w:rPr>
            </w:pPr>
            <w:bookmarkStart w:id="22" w:name="bookmark151"/>
            <w:bookmarkStart w:id="23" w:name="bookmark152"/>
            <w:r>
              <w:rPr>
                <w:rFonts w:cs="Times New Roman"/>
                <w:color w:val="auto"/>
                <w:sz w:val="28"/>
                <w:szCs w:val="28"/>
              </w:rPr>
              <w:t>Повернення супутньо-пластової води (далі - СПВ) в глибоко залягаючи підземні горизонти.</w:t>
            </w:r>
            <w:bookmarkEnd w:id="22"/>
            <w:bookmarkEnd w:id="23"/>
          </w:p>
          <w:p>
            <w:pPr>
              <w:pStyle w:val="11"/>
              <w:shd w:val="clear" w:color="auto" w:fill="auto"/>
              <w:tabs>
                <w:tab w:val="left" w:pos="1134"/>
                <w:tab w:val="left" w:pos="1418"/>
              </w:tabs>
              <w:spacing w:after="0" w:line="240" w:lineRule="auto"/>
              <w:ind w:firstLine="720"/>
              <w:rPr>
                <w:sz w:val="28"/>
                <w:szCs w:val="28"/>
              </w:rPr>
            </w:pPr>
            <w:r>
              <w:rPr>
                <w:sz w:val="28"/>
                <w:szCs w:val="28"/>
              </w:rPr>
              <w:t>Екологічні вимоги щодо поводження з СПВ регламентуються наступними законодавчо-нормативними актами:</w:t>
            </w:r>
          </w:p>
          <w:p>
            <w:pPr>
              <w:pStyle w:val="11"/>
              <w:numPr>
                <w:ilvl w:val="0"/>
                <w:numId w:val="9"/>
              </w:numPr>
              <w:shd w:val="clear" w:color="auto" w:fill="auto"/>
              <w:tabs>
                <w:tab w:val="left" w:pos="1134"/>
                <w:tab w:val="left" w:pos="1418"/>
              </w:tabs>
              <w:spacing w:after="0" w:line="240" w:lineRule="auto"/>
              <w:ind w:firstLine="720"/>
              <w:rPr>
                <w:sz w:val="28"/>
                <w:szCs w:val="28"/>
              </w:rPr>
            </w:pPr>
            <w:r>
              <w:rPr>
                <w:sz w:val="28"/>
                <w:szCs w:val="28"/>
              </w:rPr>
              <w:t>ст.72 Водного Кодексу України: підприємства, установи та організації, що добувають нафту і газ, повертають супутньо-пластові води нафтогазових родовищ до підземних горизонтів.</w:t>
            </w:r>
          </w:p>
          <w:p>
            <w:pPr>
              <w:pStyle w:val="11"/>
              <w:numPr>
                <w:ilvl w:val="0"/>
                <w:numId w:val="9"/>
              </w:numPr>
              <w:shd w:val="clear" w:color="auto" w:fill="auto"/>
              <w:tabs>
                <w:tab w:val="left" w:pos="1134"/>
                <w:tab w:val="left" w:pos="1418"/>
              </w:tabs>
              <w:spacing w:after="0" w:line="240" w:lineRule="auto"/>
              <w:ind w:firstLine="720"/>
              <w:rPr>
                <w:sz w:val="28"/>
                <w:szCs w:val="28"/>
              </w:rPr>
            </w:pPr>
            <w:r>
              <w:rPr>
                <w:sz w:val="28"/>
                <w:szCs w:val="28"/>
              </w:rPr>
              <w:t>ст.75 Водного Кодексу України: Повернення супутньо-пластових вод нафтогазових родовищ до підземних горизонтів здійснюється за технологічними проектами, погодженими з центральним органом виконавчої влади, що реалізує державну політику у сфері охорони навколишнього природного середовища, і центральним органом виконавчої влади, що реалізує державну політику у сфері санітарного та епідемічного благополуччя населення.</w:t>
            </w:r>
          </w:p>
          <w:p>
            <w:pPr>
              <w:pStyle w:val="11"/>
              <w:numPr>
                <w:ilvl w:val="0"/>
                <w:numId w:val="9"/>
              </w:numPr>
              <w:shd w:val="clear" w:color="auto" w:fill="auto"/>
              <w:tabs>
                <w:tab w:val="left" w:pos="1134"/>
                <w:tab w:val="left" w:pos="1418"/>
              </w:tabs>
              <w:spacing w:after="0" w:line="240" w:lineRule="auto"/>
              <w:ind w:firstLine="720"/>
              <w:rPr>
                <w:sz w:val="28"/>
                <w:szCs w:val="28"/>
              </w:rPr>
            </w:pPr>
            <w:r>
              <w:rPr>
                <w:sz w:val="28"/>
                <w:szCs w:val="28"/>
              </w:rPr>
              <w:t>ст.13 ЗУ "Про нафту і газ": "Видобування не придатних для побутового використання мінералізованих підземних вод для потреб нафтогазової галузі та захоронення супутніх і стічних вод у нафтогазоносних пластах та пластах, насичених мінералізованими водами, що не придатні для господарського і побутового використання, в межах цієї ділянки здійснюються користувачами нафтогазоносних надр без спеціального дозволу на водокористування.</w:t>
            </w:r>
          </w:p>
          <w:p>
            <w:pPr>
              <w:pStyle w:val="11"/>
              <w:shd w:val="clear" w:color="auto" w:fill="auto"/>
              <w:tabs>
                <w:tab w:val="left" w:pos="1134"/>
                <w:tab w:val="left" w:pos="1418"/>
              </w:tabs>
              <w:spacing w:after="0" w:line="240" w:lineRule="auto"/>
              <w:ind w:firstLine="720"/>
              <w:rPr>
                <w:sz w:val="28"/>
                <w:szCs w:val="28"/>
              </w:rPr>
            </w:pPr>
            <w:r>
              <w:rPr>
                <w:sz w:val="28"/>
                <w:szCs w:val="28"/>
              </w:rPr>
              <w:t>Повернення СПВ здійснюється на підставі технологічних проектів, погоджених у встановленому законодавством України порядку.</w:t>
            </w:r>
          </w:p>
          <w:p>
            <w:pPr>
              <w:pStyle w:val="11"/>
              <w:shd w:val="clear" w:color="auto" w:fill="auto"/>
              <w:tabs>
                <w:tab w:val="left" w:pos="1134"/>
                <w:tab w:val="left" w:pos="1418"/>
              </w:tabs>
              <w:spacing w:after="0" w:line="240" w:lineRule="auto"/>
              <w:ind w:firstLine="720"/>
              <w:rPr>
                <w:sz w:val="28"/>
                <w:szCs w:val="28"/>
              </w:rPr>
            </w:pPr>
            <w:r>
              <w:rPr>
                <w:sz w:val="28"/>
                <w:szCs w:val="28"/>
              </w:rPr>
              <w:t>Різницю між обсягами видобутої та повернутої до глибоко залягаючих горизонтів СПВ складають:</w:t>
            </w:r>
          </w:p>
          <w:p>
            <w:pPr>
              <w:pStyle w:val="11"/>
              <w:numPr>
                <w:ilvl w:val="0"/>
                <w:numId w:val="9"/>
              </w:numPr>
              <w:shd w:val="clear" w:color="auto" w:fill="auto"/>
              <w:tabs>
                <w:tab w:val="left" w:pos="1134"/>
                <w:tab w:val="left" w:pos="1418"/>
              </w:tabs>
              <w:spacing w:after="0" w:line="266" w:lineRule="auto"/>
              <w:ind w:firstLine="720"/>
              <w:rPr>
                <w:sz w:val="28"/>
                <w:szCs w:val="28"/>
              </w:rPr>
            </w:pPr>
            <w:r>
              <w:rPr>
                <w:sz w:val="28"/>
                <w:szCs w:val="28"/>
              </w:rPr>
              <w:t>СПВ, що накопичені у ємностях та проходять процес підготовки до повернення;</w:t>
            </w:r>
          </w:p>
          <w:p>
            <w:pPr>
              <w:pStyle w:val="11"/>
              <w:numPr>
                <w:ilvl w:val="0"/>
                <w:numId w:val="9"/>
              </w:numPr>
              <w:shd w:val="clear" w:color="auto" w:fill="auto"/>
              <w:tabs>
                <w:tab w:val="left" w:pos="1134"/>
                <w:tab w:val="left" w:pos="1418"/>
              </w:tabs>
              <w:spacing w:after="0" w:line="240" w:lineRule="auto"/>
              <w:ind w:firstLine="720"/>
              <w:rPr>
                <w:sz w:val="28"/>
                <w:szCs w:val="28"/>
              </w:rPr>
            </w:pPr>
            <w:r>
              <w:rPr>
                <w:sz w:val="28"/>
                <w:szCs w:val="28"/>
              </w:rPr>
              <w:t>СПВ, що використовуються на власні потреби, передаються стороннім організаціям тощо для проведення ремонтних робіт на свердловинах.</w:t>
            </w:r>
          </w:p>
          <w:p>
            <w:pPr>
              <w:pStyle w:val="11"/>
              <w:shd w:val="clear" w:color="auto" w:fill="auto"/>
              <w:tabs>
                <w:tab w:val="left" w:pos="1134"/>
                <w:tab w:val="left" w:pos="1418"/>
              </w:tabs>
              <w:spacing w:after="0" w:line="240" w:lineRule="auto"/>
              <w:ind w:firstLine="720"/>
              <w:rPr>
                <w:sz w:val="28"/>
                <w:szCs w:val="28"/>
              </w:rPr>
            </w:pPr>
            <w:r>
              <w:rPr>
                <w:sz w:val="28"/>
                <w:szCs w:val="28"/>
              </w:rPr>
              <w:t>Процеси підготовки СПВ до повернення в надра, контроль якісних показників, повернення до глибоко залягаючих пластів, здійснюються відповідно до Технологічних регламентів, СОУ та технологічних проектів, що гарантує дотримання вимог екологічної та радіаційної безпеки.</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p>
        </w:tc>
      </w:tr>
      <w:tr>
        <w:trPr>
          <w:trHeight w:val="870"/>
        </w:trPr>
        <w:tc>
          <w:tcPr>
            <w:tcW w:w="3374" w:type="dxa"/>
          </w:tcPr>
          <w:p>
            <w:pPr>
              <w:pStyle w:val="rvps2"/>
              <w:shd w:val="clear" w:color="auto" w:fill="FFFFFF"/>
              <w:rPr>
                <w:color w:val="000000" w:themeColor="text1"/>
                <w:sz w:val="28"/>
                <w:szCs w:val="28"/>
              </w:rPr>
            </w:pPr>
            <w:r>
              <w:rPr>
                <w:color w:val="000000" w:themeColor="text1"/>
                <w:sz w:val="28"/>
                <w:szCs w:val="28"/>
              </w:rPr>
              <w:t>вимоги щодо безпеки та охорони праці найманих працівників та залучених виконавців робіт та їх найманих працівників</w:t>
            </w:r>
          </w:p>
        </w:tc>
        <w:tc>
          <w:tcPr>
            <w:tcW w:w="12049" w:type="dxa"/>
          </w:tcPr>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зобов'язується впроваджувати передові стандарти та політики щодо виконання робіт, управління виробничим процесом та в сфері охорони праці та промислової безпеки, а також проводити навчання та постійно підвищувати кваліфікацію в тому числі через спеціальні професійно-освітні семінари та програми для студентів інженерних спеціальностей спільно з провідними закладами вищої освіти країни (ІФНТУНГ, ПолтНТУ ім. Ю. Кондратюка, КНУ ім. Т. Шевченка).</w:t>
            </w:r>
          </w:p>
          <w:p>
            <w:pPr>
              <w:pStyle w:val="DodatokStyle1"/>
              <w:numPr>
                <w:ilvl w:val="0"/>
                <w:numId w:val="7"/>
              </w:numPr>
              <w:rPr>
                <w:rFonts w:cs="Times New Roman"/>
                <w:color w:val="auto"/>
                <w:sz w:val="28"/>
                <w:szCs w:val="28"/>
              </w:rPr>
            </w:pPr>
            <w:r>
              <w:rPr>
                <w:rFonts w:cs="Times New Roman"/>
                <w:color w:val="auto"/>
                <w:sz w:val="28"/>
                <w:szCs w:val="28"/>
              </w:rPr>
              <w:t>Охорона праці</w:t>
            </w:r>
          </w:p>
          <w:p>
            <w:pPr>
              <w:pStyle w:val="11"/>
              <w:shd w:val="clear" w:color="auto" w:fill="auto"/>
              <w:tabs>
                <w:tab w:val="left" w:pos="1134"/>
                <w:tab w:val="left" w:pos="1418"/>
              </w:tabs>
              <w:spacing w:after="0" w:line="240" w:lineRule="auto"/>
              <w:ind w:firstLine="720"/>
              <w:rPr>
                <w:sz w:val="28"/>
                <w:szCs w:val="28"/>
              </w:rPr>
            </w:pPr>
            <w:r>
              <w:rPr>
                <w:sz w:val="28"/>
                <w:szCs w:val="28"/>
              </w:rPr>
              <w:t>Проголошуючи пріоритетність життя і здоров'я людини у виробничому процесі, в діяльності Інвестора, усіх його філій та їх структурних підрозділів, Інвестор в процесі виконання Угоди буде дотримуватись наступних принципів охорони праці:</w:t>
            </w:r>
          </w:p>
          <w:p>
            <w:pPr>
              <w:pStyle w:val="11"/>
              <w:shd w:val="clear" w:color="auto" w:fill="auto"/>
              <w:tabs>
                <w:tab w:val="left" w:pos="1134"/>
                <w:tab w:val="left" w:pos="1418"/>
              </w:tabs>
              <w:spacing w:after="0" w:line="240" w:lineRule="auto"/>
              <w:ind w:firstLine="720"/>
              <w:rPr>
                <w:sz w:val="28"/>
                <w:szCs w:val="28"/>
              </w:rPr>
            </w:pP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Діяти згідно з чинними законодавчими та нормативно-правовими актами з охорони праці, розробляти та удосконалювати нормативні акти Інвестора з урахуванням кращого світового досвіду.</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Постійно удосконалювати діючу систему управління охороною праці, покращувати стан безпеки та гігієни праці.</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Забезпечувати пріоритетне фінансування заходів, спрямованих на досягнення та дотримування встановлених нормативів з охорони праці, підвищення існуючого рівня промислової безпеки, створення нешкідливих і безпечних умов праці.</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Виявляти небезпеки, оцінювати та управляти ризиками. Не допускати виконання робіт з рівнем ризику вище допустимого, запобігати нещасним випадкам за рахунок застосування кращих та економічно обґрунтованих технологій. Створювати безпечне робоче середовище, що мінімізує шкідливі умови праці та знижує ризик можливого травмування працівників.</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Інвестувати в персонал - мотивувати співробітників до формування та ефективного функціонування системи управління охороною праці. Змінювати ставлення працівників до особистої безпеки та безпеки колег з пасивного на активне, закладати стимулюючої основи для безпечної поведінки.</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Брати участь у корпоративному навчанні та тренінгах для інженерно-технічних працівників за темою "Лідерство, поведінковий аудит безпеки та оцінка ризику"."</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Брати участь у корпоративному навчанні та тренінгах для робітників за темою "Оцінка ризику, аналіз безпечного виконання робіт та безпечний робочий простір"."</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Забезпечувати планомірне підвищення кваліфікації працівників, рівня їх свідомості і відповідальності за особисту безпеку і безпеку оточуючих під час виконання своїх обов'язків. Здійснювати аудит щодо додержання працівниками вимог технологічних інструкцій та регламентів, правил роботи на машинах, механізмах, устаткованні, з електричним та ручним інструментом, інших засобах виробництва, виконання робіт згідно з вимогами охорони праці. Постійно удосконалювати дії і впроваджувати заходи, спрямовані на зниження рівня ризику аварійних та надзвичайних ситуацій на виробничих об'єктах і зниження їх впливу на працівників і населення в разі виникнення.</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Використовувати прогресивні організаційні та технічні рішення, які забезпечують безпечні умови праці відповідно до вимог законодавчих і нормативно-правових актів з охорони праці і промислової безпеки під час проектування, будівництва, реконструкції та експлуатації виробничих об'єктів.</w:t>
            </w:r>
          </w:p>
          <w:p>
            <w:pPr>
              <w:pStyle w:val="11"/>
              <w:numPr>
                <w:ilvl w:val="0"/>
                <w:numId w:val="4"/>
              </w:numPr>
              <w:shd w:val="clear" w:color="auto" w:fill="auto"/>
              <w:tabs>
                <w:tab w:val="left" w:pos="1134"/>
                <w:tab w:val="left" w:pos="1418"/>
              </w:tabs>
              <w:spacing w:after="160" w:line="240" w:lineRule="auto"/>
              <w:rPr>
                <w:sz w:val="28"/>
                <w:szCs w:val="28"/>
              </w:rPr>
            </w:pPr>
            <w:r>
              <w:rPr>
                <w:sz w:val="28"/>
                <w:szCs w:val="28"/>
              </w:rPr>
              <w:t>Розроблювати корпоративну систему візуалізації та маршрутизації безпечного перебування і виконання робіт на території та у виробничих приміщеннях Інвестора.</w:t>
            </w:r>
          </w:p>
          <w:p>
            <w:pPr>
              <w:pStyle w:val="11"/>
              <w:numPr>
                <w:ilvl w:val="0"/>
                <w:numId w:val="4"/>
              </w:numPr>
              <w:shd w:val="clear" w:color="auto" w:fill="auto"/>
              <w:tabs>
                <w:tab w:val="left" w:pos="1134"/>
                <w:tab w:val="left" w:pos="1418"/>
              </w:tabs>
              <w:spacing w:after="160" w:line="240" w:lineRule="auto"/>
              <w:ind w:left="709"/>
              <w:rPr>
                <w:sz w:val="28"/>
                <w:szCs w:val="28"/>
              </w:rPr>
            </w:pPr>
            <w:r>
              <w:rPr>
                <w:sz w:val="28"/>
                <w:szCs w:val="28"/>
              </w:rPr>
              <w:t>Візуалізовувати небезпеки, пов'язані з перебуванням працівників на промисловому майданчику, в зонах виконання робіт та роботи машин, механізмів, технологічного транспорту тощо.</w:t>
            </w:r>
          </w:p>
          <w:p>
            <w:pPr>
              <w:pStyle w:val="11"/>
              <w:numPr>
                <w:ilvl w:val="0"/>
                <w:numId w:val="4"/>
              </w:numPr>
              <w:shd w:val="clear" w:color="auto" w:fill="auto"/>
              <w:tabs>
                <w:tab w:val="left" w:pos="1134"/>
                <w:tab w:val="left" w:pos="1418"/>
              </w:tabs>
              <w:spacing w:after="160" w:line="240" w:lineRule="auto"/>
              <w:ind w:left="709"/>
              <w:rPr>
                <w:sz w:val="28"/>
                <w:szCs w:val="28"/>
              </w:rPr>
            </w:pPr>
            <w:r>
              <w:rPr>
                <w:sz w:val="28"/>
                <w:szCs w:val="28"/>
              </w:rPr>
              <w:t>Виявляти та усувати причини, що призводять або можуть призвести до аварій, нещасних випадків чи професійних захворювань.</w:t>
            </w:r>
          </w:p>
          <w:p>
            <w:pPr>
              <w:pStyle w:val="11"/>
              <w:numPr>
                <w:ilvl w:val="0"/>
                <w:numId w:val="4"/>
              </w:numPr>
              <w:shd w:val="clear" w:color="auto" w:fill="auto"/>
              <w:tabs>
                <w:tab w:val="left" w:pos="1134"/>
                <w:tab w:val="left" w:pos="1418"/>
              </w:tabs>
              <w:spacing w:after="160" w:line="240" w:lineRule="auto"/>
              <w:ind w:left="709"/>
              <w:rPr>
                <w:sz w:val="28"/>
                <w:szCs w:val="28"/>
              </w:rPr>
            </w:pPr>
            <w:r>
              <w:rPr>
                <w:sz w:val="28"/>
                <w:szCs w:val="28"/>
              </w:rPr>
              <w:t>Розроблювати та впроваджувати системи проведення внутрішнього розслідування інцидентів у сфері охорони праці та промислової безпеки, з метою визначення корегуючих заходів і запобігання виникненню позаштатних ситуацій та нещасних випадків.</w:t>
            </w:r>
          </w:p>
          <w:p>
            <w:pPr>
              <w:pStyle w:val="11"/>
              <w:numPr>
                <w:ilvl w:val="0"/>
                <w:numId w:val="4"/>
              </w:numPr>
              <w:shd w:val="clear" w:color="auto" w:fill="auto"/>
              <w:tabs>
                <w:tab w:val="left" w:pos="1134"/>
                <w:tab w:val="left" w:pos="1418"/>
              </w:tabs>
              <w:spacing w:after="160" w:line="240" w:lineRule="auto"/>
              <w:ind w:left="709"/>
              <w:rPr>
                <w:sz w:val="28"/>
                <w:szCs w:val="28"/>
              </w:rPr>
            </w:pPr>
            <w:r>
              <w:rPr>
                <w:rFonts w:eastAsia="TimesNewRomanPSMT"/>
                <w:sz w:val="28"/>
                <w:szCs w:val="28"/>
              </w:rPr>
              <w:t>Забезпечувати проходження у встановленому законодавством порядку попередніх та періодичних медичних оглядів працівників.</w:t>
            </w:r>
          </w:p>
          <w:p>
            <w:pPr>
              <w:pStyle w:val="11"/>
              <w:numPr>
                <w:ilvl w:val="0"/>
                <w:numId w:val="4"/>
              </w:numPr>
              <w:shd w:val="clear" w:color="auto" w:fill="auto"/>
              <w:tabs>
                <w:tab w:val="left" w:pos="1134"/>
                <w:tab w:val="left" w:pos="1418"/>
              </w:tabs>
              <w:spacing w:after="160" w:line="240" w:lineRule="auto"/>
              <w:ind w:left="709"/>
              <w:rPr>
                <w:sz w:val="28"/>
                <w:szCs w:val="28"/>
              </w:rPr>
            </w:pPr>
            <w:r>
              <w:rPr>
                <w:rFonts w:eastAsia="TimesNewRomanPSMT"/>
                <w:sz w:val="28"/>
                <w:szCs w:val="28"/>
              </w:rPr>
              <w:t>Розроблювати системні заходи щодо своєчасного надання працівникам домедичної допомоги.</w:t>
            </w:r>
          </w:p>
          <w:p>
            <w:pPr>
              <w:pStyle w:val="11"/>
              <w:numPr>
                <w:ilvl w:val="0"/>
                <w:numId w:val="4"/>
              </w:numPr>
              <w:shd w:val="clear" w:color="auto" w:fill="auto"/>
              <w:tabs>
                <w:tab w:val="left" w:pos="1134"/>
                <w:tab w:val="left" w:pos="1418"/>
              </w:tabs>
              <w:spacing w:after="160" w:line="240" w:lineRule="auto"/>
              <w:ind w:left="709"/>
              <w:rPr>
                <w:sz w:val="28"/>
                <w:szCs w:val="28"/>
              </w:rPr>
            </w:pPr>
            <w:r>
              <w:rPr>
                <w:rFonts w:eastAsia="TimesNewRomanPSMT"/>
                <w:sz w:val="28"/>
                <w:szCs w:val="28"/>
              </w:rPr>
              <w:t>Удосконалювати надання соціальних пільг та компенсацій працівникам, зайнятим на роботах</w:t>
            </w:r>
            <w:r>
              <w:rPr>
                <w:sz w:val="28"/>
                <w:szCs w:val="28"/>
              </w:rPr>
              <w:t xml:space="preserve"> </w:t>
            </w:r>
            <w:r>
              <w:rPr>
                <w:rFonts w:eastAsia="TimesNewRomanPSMT"/>
                <w:sz w:val="28"/>
                <w:szCs w:val="28"/>
              </w:rPr>
              <w:t>з важкими, шкідливими та небезпечними умовами праці, поліпшувати медичне та побутове обслуговування працівників Інвестора.</w:t>
            </w:r>
          </w:p>
          <w:p>
            <w:pPr>
              <w:pStyle w:val="11"/>
              <w:numPr>
                <w:ilvl w:val="0"/>
                <w:numId w:val="4"/>
              </w:numPr>
              <w:shd w:val="clear" w:color="auto" w:fill="auto"/>
              <w:tabs>
                <w:tab w:val="left" w:pos="1134"/>
                <w:tab w:val="left" w:pos="1418"/>
              </w:tabs>
              <w:spacing w:after="160" w:line="240" w:lineRule="auto"/>
              <w:ind w:left="709"/>
              <w:rPr>
                <w:rFonts w:eastAsia="TimesNewRomanPSMT"/>
                <w:sz w:val="28"/>
                <w:szCs w:val="28"/>
              </w:rPr>
            </w:pPr>
            <w:r>
              <w:rPr>
                <w:rFonts w:eastAsia="TimesNewRomanPSMT"/>
                <w:sz w:val="28"/>
                <w:szCs w:val="28"/>
              </w:rPr>
              <w:t xml:space="preserve">Взаємодіяти з органами виконавчої влади, державними органами нагляду, підприємствами та </w:t>
            </w:r>
            <w:r>
              <w:rPr>
                <w:sz w:val="28"/>
                <w:szCs w:val="28"/>
              </w:rPr>
              <w:t>організаціями з питань поліпшення стану умов праці і підвищення рівня промислової безпеки.</w:t>
            </w:r>
          </w:p>
          <w:p>
            <w:pPr>
              <w:pStyle w:val="af"/>
              <w:numPr>
                <w:ilvl w:val="0"/>
                <w:numId w:val="4"/>
              </w:num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hAnsi="Times New Roman" w:cs="Times New Roman"/>
                <w:sz w:val="28"/>
                <w:szCs w:val="28"/>
              </w:rPr>
              <w:t xml:space="preserve"> Інформувати підрядні і суміжні організації щодо вимог безпечного виконання робіт на території Інвестора і сприяти проведенню ними політики у галузі охорони праці, відповідної цим вимогам.</w:t>
            </w:r>
          </w:p>
          <w:p>
            <w:pPr>
              <w:pStyle w:val="af"/>
              <w:numPr>
                <w:ilvl w:val="0"/>
                <w:numId w:val="4"/>
              </w:numPr>
              <w:tabs>
                <w:tab w:val="left" w:pos="1134"/>
                <w:tab w:val="left" w:pos="1418"/>
              </w:tabs>
              <w:autoSpaceDE w:val="0"/>
              <w:autoSpaceDN w:val="0"/>
              <w:adjustRightInd w:val="0"/>
              <w:spacing w:after="0" w:line="240" w:lineRule="auto"/>
              <w:ind w:left="709"/>
              <w:jc w:val="both"/>
              <w:rPr>
                <w:rFonts w:ascii="Times New Roman" w:eastAsia="TimesNewRomanPSMT" w:hAnsi="Times New Roman" w:cs="Times New Roman"/>
                <w:sz w:val="28"/>
                <w:szCs w:val="28"/>
              </w:rPr>
            </w:pPr>
            <w:r>
              <w:rPr>
                <w:rFonts w:ascii="Times New Roman" w:hAnsi="Times New Roman" w:cs="Times New Roman"/>
                <w:sz w:val="28"/>
                <w:szCs w:val="28"/>
              </w:rPr>
              <w:t>Взаємодіяти з громадськими організаціями та засобами масової інформації, забезпечувати відкритість та доступність необхідної для населення інформації з охорони праці та промислової безпеки.</w:t>
            </w:r>
          </w:p>
          <w:p>
            <w:pPr>
              <w:tabs>
                <w:tab w:val="left" w:pos="1134"/>
                <w:tab w:val="left" w:pos="1418"/>
              </w:tabs>
              <w:autoSpaceDE w:val="0"/>
              <w:autoSpaceDN w:val="0"/>
              <w:adjustRightInd w:val="0"/>
              <w:ind w:left="709"/>
              <w:rPr>
                <w:rFonts w:ascii="Times New Roman" w:eastAsia="TimesNewRomanPSMT" w:hAnsi="Times New Roman" w:cs="Times New Roman"/>
                <w:sz w:val="28"/>
                <w:szCs w:val="28"/>
              </w:rPr>
            </w:pPr>
          </w:p>
          <w:p>
            <w:pPr>
              <w:pStyle w:val="DodatokStyle1"/>
              <w:rPr>
                <w:rFonts w:cs="Times New Roman"/>
                <w:color w:val="auto"/>
                <w:sz w:val="28"/>
                <w:szCs w:val="28"/>
              </w:rPr>
            </w:pPr>
            <w:r>
              <w:rPr>
                <w:rFonts w:cs="Times New Roman"/>
                <w:color w:val="auto"/>
                <w:sz w:val="28"/>
                <w:szCs w:val="28"/>
              </w:rPr>
              <w:t>Забезпечення використання засобів індивідуального захисту</w:t>
            </w:r>
          </w:p>
          <w:p>
            <w:pPr>
              <w:pStyle w:val="11"/>
              <w:shd w:val="clear" w:color="auto" w:fill="auto"/>
              <w:tabs>
                <w:tab w:val="left" w:pos="360"/>
                <w:tab w:val="left" w:pos="1134"/>
                <w:tab w:val="left" w:pos="1418"/>
              </w:tabs>
              <w:spacing w:after="0" w:line="240" w:lineRule="auto"/>
              <w:rPr>
                <w:sz w:val="28"/>
                <w:szCs w:val="28"/>
              </w:rPr>
            </w:pPr>
          </w:p>
          <w:p>
            <w:pPr>
              <w:pStyle w:val="af1"/>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Інвестор в процесі виконання Угоди буде дотримуватись наступних принципів у сфері</w:t>
            </w:r>
          </w:p>
          <w:p>
            <w:pPr>
              <w:pStyle w:val="af1"/>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використання ЗІЗ :</w:t>
            </w:r>
          </w:p>
          <w:p>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Забезпечувати єдиний корпоративний стиль спецодягу для працівників.</w:t>
            </w:r>
          </w:p>
          <w:p>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Визначати єдині вимоги до спеціального одягу, спеціального взуття та інших засобів індивідуального захисту в залежності від умов праці та пори року.</w:t>
            </w:r>
          </w:p>
          <w:p>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Візуалізовувати застосування ЗІЗ відповідно до виробничих зон та умов виконання робіт.</w:t>
            </w:r>
          </w:p>
          <w:p>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Застосовувати засоби індивідуального захисту, які забезпечують зниження впливу несприятливих факторів виробничого і </w:t>
            </w:r>
            <w:r>
              <w:rPr>
                <w:rFonts w:ascii="Times New Roman" w:hAnsi="Times New Roman" w:cs="Times New Roman"/>
                <w:color w:val="auto"/>
                <w:sz w:val="28"/>
                <w:szCs w:val="28"/>
                <w:lang w:eastAsia="ru-RU"/>
              </w:rPr>
              <w:t>Навколишнього  природного</w:t>
            </w:r>
            <w:r>
              <w:rPr>
                <w:rFonts w:ascii="Times New Roman" w:hAnsi="Times New Roman" w:cs="Times New Roman"/>
                <w:color w:val="auto"/>
                <w:sz w:val="28"/>
                <w:szCs w:val="28"/>
              </w:rPr>
              <w:t xml:space="preserve"> середовища на організм працівника.</w:t>
            </w:r>
          </w:p>
          <w:p>
            <w:pPr>
              <w:pStyle w:val="af1"/>
              <w:numPr>
                <w:ilvl w:val="0"/>
                <w:numId w:val="5"/>
              </w:numPr>
              <w:tabs>
                <w:tab w:val="left" w:pos="1134"/>
                <w:tab w:val="left" w:pos="1418"/>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Організовувати корпоративну систему догляду за спецодягом (прання, ремонт, заміна).</w:t>
            </w:r>
          </w:p>
          <w:p>
            <w:pPr>
              <w:autoSpaceDE w:val="0"/>
              <w:autoSpaceDN w:val="0"/>
              <w:adjustRightInd w:val="0"/>
              <w:spacing w:after="0" w:line="240" w:lineRule="auto"/>
              <w:rPr>
                <w:rFonts w:ascii="Times New Roman" w:hAnsi="Times New Roman" w:cs="Times New Roman"/>
                <w:color w:val="000000" w:themeColor="text1"/>
                <w:sz w:val="28"/>
                <w:szCs w:val="28"/>
              </w:rPr>
            </w:pPr>
          </w:p>
        </w:tc>
      </w:tr>
      <w:tr>
        <w:trPr>
          <w:trHeight w:val="870"/>
        </w:trPr>
        <w:tc>
          <w:tcPr>
            <w:tcW w:w="3374" w:type="dxa"/>
          </w:tcPr>
          <w:p>
            <w:pPr>
              <w:pStyle w:val="rvps2"/>
              <w:shd w:val="clear" w:color="auto" w:fill="FFFFFF"/>
              <w:rPr>
                <w:color w:val="000000" w:themeColor="text1"/>
                <w:sz w:val="28"/>
                <w:szCs w:val="28"/>
              </w:rPr>
            </w:pPr>
            <w:r>
              <w:rPr>
                <w:color w:val="000000" w:themeColor="text1"/>
                <w:sz w:val="28"/>
                <w:szCs w:val="28"/>
              </w:rPr>
              <w:t>соціальні зобов’язання, включаючи положення про участь у розвитку місцевої інфраструктури та положення про використання робіт, товарів і послуг, які виконуються, постачаються або надаються суб’єктами господарювання, які зареєстровані в межах територіальної громади, на території якої здійснюється діяльність у видобувних галузях, вимоги щодо проведення громадських слухань</w:t>
            </w:r>
          </w:p>
        </w:tc>
        <w:tc>
          <w:tcPr>
            <w:tcW w:w="12049" w:type="dxa"/>
          </w:tcPr>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Починаючи з Дати початку Інвестор, на власний розсуд з урахуванням потреб</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місцевих громад, може витрачати кошти на потреби соціального та промислового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розвитку місцевих громад, у випадку отримання від них запитів та визнання доцільності</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Якщо Інвестор повідомляє Державному уповноваженому органу про те, що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Інвестор досягнув показників комерційної доцільності, Інвестор може, на власний</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розсуд з урахуванням потреб місцевих громад, витрачати кошти на потреби соціального</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та промислового розвитку місцевих громад у випадку отримання від них запитів та</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визнання доцільності таких витрат Інвестором.</w:t>
            </w:r>
          </w:p>
          <w:p>
            <w:pPr>
              <w:autoSpaceDE w:val="0"/>
              <w:autoSpaceDN w:val="0"/>
              <w:adjustRightInd w:val="0"/>
              <w:spacing w:after="0" w:line="240" w:lineRule="auto"/>
              <w:jc w:val="both"/>
              <w:rPr>
                <w:rFonts w:ascii="Times New Roman" w:eastAsia="CIDFont+F1" w:hAnsi="Times New Roman" w:cs="Times New Roman"/>
                <w:color w:val="000000" w:themeColor="text1"/>
                <w:sz w:val="28"/>
                <w:szCs w:val="28"/>
              </w:rPr>
            </w:pPr>
            <w:r>
              <w:rPr>
                <w:rFonts w:ascii="Times New Roman" w:eastAsia="CIDFont+F1" w:hAnsi="Times New Roman" w:cs="Times New Roman"/>
                <w:color w:val="000000" w:themeColor="text1"/>
                <w:sz w:val="28"/>
                <w:szCs w:val="28"/>
              </w:rPr>
              <w:t>Інвестор зобов’язується проводити соціальні інвестиції відповідно до узгоджених</w:t>
            </w:r>
            <w:r>
              <w:rPr>
                <w:rFonts w:ascii="Times New Roman" w:eastAsia="CIDFont+F1" w:hAnsi="Times New Roman" w:cs="Times New Roman"/>
                <w:color w:val="000000" w:themeColor="text1"/>
                <w:sz w:val="28"/>
                <w:szCs w:val="28"/>
                <w:lang w:val="ru-RU"/>
              </w:rPr>
              <w:t xml:space="preserve"> </w:t>
            </w:r>
            <w:r>
              <w:rPr>
                <w:rFonts w:ascii="Times New Roman" w:eastAsia="CIDFont+F1" w:hAnsi="Times New Roman" w:cs="Times New Roman"/>
                <w:color w:val="000000" w:themeColor="text1"/>
                <w:sz w:val="28"/>
                <w:szCs w:val="28"/>
              </w:rPr>
              <w:t>ПРБ. Конкретні проекти програми соціального розвитку та напрямки соціальних</w:t>
            </w:r>
            <w:r>
              <w:rPr>
                <w:rFonts w:ascii="Times New Roman" w:eastAsia="CIDFont+F1" w:hAnsi="Times New Roman" w:cs="Times New Roman"/>
                <w:color w:val="000000" w:themeColor="text1"/>
                <w:sz w:val="28"/>
                <w:szCs w:val="28"/>
                <w:lang w:val="ru-RU"/>
              </w:rPr>
              <w:t xml:space="preserve"> і</w:t>
            </w:r>
            <w:r>
              <w:rPr>
                <w:rFonts w:ascii="Times New Roman" w:eastAsia="CIDFont+F1" w:hAnsi="Times New Roman" w:cs="Times New Roman"/>
                <w:color w:val="000000" w:themeColor="text1"/>
                <w:sz w:val="28"/>
                <w:szCs w:val="28"/>
              </w:rPr>
              <w:t>нвестицій будуть визначені Інвестором на етапі реалізації Угоди після консультацій з органами державної влади, органами місцевого самоврядування, громадськими організаціями та громадами на розсуд Інвестора. Витрати Інвестора на соціальні інвестиції в межах узгоджених ПРБ (з урахуванням Дозволеного перевищення, як це передбачено положеннями Угоди), а також виходу за межі Дозволеного перевищення, узгодженого Державним уповноваженим органом у порядку, передбаченому Угодою, є Компенсаційними витратами.</w:t>
            </w:r>
          </w:p>
          <w:p>
            <w:pPr>
              <w:autoSpaceDE w:val="0"/>
              <w:autoSpaceDN w:val="0"/>
              <w:adjustRightInd w:val="0"/>
              <w:spacing w:after="0" w:line="240" w:lineRule="auto"/>
              <w:rPr>
                <w:rFonts w:ascii="Times New Roman" w:hAnsi="Times New Roman" w:cs="Times New Roman"/>
                <w:color w:val="000000" w:themeColor="text1"/>
                <w:sz w:val="28"/>
                <w:szCs w:val="28"/>
              </w:rPr>
            </w:pPr>
          </w:p>
        </w:tc>
      </w:tr>
    </w:tbl>
    <w:p>
      <w:pPr>
        <w:jc w:val="center"/>
        <w:rPr>
          <w:rFonts w:ascii="Times New Roman" w:hAnsi="Times New Roman" w:cs="Times New Roman"/>
          <w:color w:val="000000" w:themeColor="text1"/>
          <w:sz w:val="28"/>
          <w:szCs w:val="28"/>
        </w:rPr>
      </w:pPr>
    </w:p>
    <w:sectPr>
      <w:pgSz w:w="16838" w:h="11906" w:orient="landscape"/>
      <w:pgMar w:top="567" w:right="850" w:bottom="850"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default"/>
  </w:font>
  <w:font w:name="CIDFont+F1">
    <w:altName w:val="MS Gothic"/>
    <w:panose1 w:val="00000000000000000000"/>
    <w:charset w:val="80"/>
    <w:family w:val="auto"/>
    <w:notTrueType/>
    <w:pitch w:val="default"/>
    <w:sig w:usb0="00000001" w:usb1="08070000" w:usb2="00000010" w:usb3="00000000" w:csb0="00020000" w:csb1="00000000"/>
  </w:font>
  <w:font w:name="CIDFont+F2">
    <w:altName w:val="MS Gothic"/>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80"/>
    <w:family w:val="auto"/>
    <w:notTrueType/>
    <w:pitch w:val="default"/>
    <w:sig w:usb0="00002A87" w:usb1="08070000" w:usb2="00000010" w:usb3="00000000" w:csb0="0002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10168"/>
    <w:multiLevelType w:val="hybridMultilevel"/>
    <w:tmpl w:val="11C61A52"/>
    <w:lvl w:ilvl="0" w:tplc="DCD21DC2">
      <w:start w:val="1"/>
      <w:numFmt w:val="bullet"/>
      <w:lvlText w:val=""/>
      <w:lvlJc w:val="left"/>
      <w:pPr>
        <w:ind w:left="720" w:hanging="360"/>
      </w:pPr>
      <w:rPr>
        <w:rFonts w:ascii="Symbol" w:hAnsi="Symbol" w:hint="default"/>
      </w:rPr>
    </w:lvl>
    <w:lvl w:ilvl="1" w:tplc="DDD86B96" w:tentative="1">
      <w:start w:val="1"/>
      <w:numFmt w:val="bullet"/>
      <w:lvlText w:val="o"/>
      <w:lvlJc w:val="left"/>
      <w:pPr>
        <w:ind w:left="1440" w:hanging="360"/>
      </w:pPr>
      <w:rPr>
        <w:rFonts w:ascii="Courier New" w:hAnsi="Courier New" w:hint="default"/>
      </w:rPr>
    </w:lvl>
    <w:lvl w:ilvl="2" w:tplc="BE0A0C58" w:tentative="1">
      <w:start w:val="1"/>
      <w:numFmt w:val="bullet"/>
      <w:lvlText w:val=""/>
      <w:lvlJc w:val="left"/>
      <w:pPr>
        <w:ind w:left="2160" w:hanging="360"/>
      </w:pPr>
      <w:rPr>
        <w:rFonts w:ascii="Wingdings" w:hAnsi="Wingdings" w:hint="default"/>
      </w:rPr>
    </w:lvl>
    <w:lvl w:ilvl="3" w:tplc="D5CEE706" w:tentative="1">
      <w:start w:val="1"/>
      <w:numFmt w:val="bullet"/>
      <w:lvlText w:val=""/>
      <w:lvlJc w:val="left"/>
      <w:pPr>
        <w:ind w:left="2880" w:hanging="360"/>
      </w:pPr>
      <w:rPr>
        <w:rFonts w:ascii="Symbol" w:hAnsi="Symbol" w:hint="default"/>
      </w:rPr>
    </w:lvl>
    <w:lvl w:ilvl="4" w:tplc="76E0012C" w:tentative="1">
      <w:start w:val="1"/>
      <w:numFmt w:val="bullet"/>
      <w:lvlText w:val="o"/>
      <w:lvlJc w:val="left"/>
      <w:pPr>
        <w:ind w:left="3600" w:hanging="360"/>
      </w:pPr>
      <w:rPr>
        <w:rFonts w:ascii="Courier New" w:hAnsi="Courier New" w:hint="default"/>
      </w:rPr>
    </w:lvl>
    <w:lvl w:ilvl="5" w:tplc="4C548414" w:tentative="1">
      <w:start w:val="1"/>
      <w:numFmt w:val="bullet"/>
      <w:lvlText w:val=""/>
      <w:lvlJc w:val="left"/>
      <w:pPr>
        <w:ind w:left="4320" w:hanging="360"/>
      </w:pPr>
      <w:rPr>
        <w:rFonts w:ascii="Wingdings" w:hAnsi="Wingdings" w:hint="default"/>
      </w:rPr>
    </w:lvl>
    <w:lvl w:ilvl="6" w:tplc="76D8D5A2" w:tentative="1">
      <w:start w:val="1"/>
      <w:numFmt w:val="bullet"/>
      <w:lvlText w:val=""/>
      <w:lvlJc w:val="left"/>
      <w:pPr>
        <w:ind w:left="5040" w:hanging="360"/>
      </w:pPr>
      <w:rPr>
        <w:rFonts w:ascii="Symbol" w:hAnsi="Symbol" w:hint="default"/>
      </w:rPr>
    </w:lvl>
    <w:lvl w:ilvl="7" w:tplc="212AD324" w:tentative="1">
      <w:start w:val="1"/>
      <w:numFmt w:val="bullet"/>
      <w:lvlText w:val="o"/>
      <w:lvlJc w:val="left"/>
      <w:pPr>
        <w:ind w:left="5760" w:hanging="360"/>
      </w:pPr>
      <w:rPr>
        <w:rFonts w:ascii="Courier New" w:hAnsi="Courier New" w:hint="default"/>
      </w:rPr>
    </w:lvl>
    <w:lvl w:ilvl="8" w:tplc="C5FCF5C8" w:tentative="1">
      <w:start w:val="1"/>
      <w:numFmt w:val="bullet"/>
      <w:lvlText w:val=""/>
      <w:lvlJc w:val="left"/>
      <w:pPr>
        <w:ind w:left="6480" w:hanging="360"/>
      </w:pPr>
      <w:rPr>
        <w:rFonts w:ascii="Wingdings" w:hAnsi="Wingdings" w:hint="default"/>
      </w:rPr>
    </w:lvl>
  </w:abstractNum>
  <w:abstractNum w:abstractNumId="1" w15:restartNumberingAfterBreak="0">
    <w:nsid w:val="241B4ECC"/>
    <w:multiLevelType w:val="hybridMultilevel"/>
    <w:tmpl w:val="70FE54F8"/>
    <w:lvl w:ilvl="0" w:tplc="47F2A018">
      <w:start w:val="1"/>
      <w:numFmt w:val="bullet"/>
      <w:lvlText w:val=""/>
      <w:lvlJc w:val="left"/>
      <w:pPr>
        <w:ind w:left="720" w:hanging="360"/>
      </w:pPr>
      <w:rPr>
        <w:rFonts w:ascii="Symbol" w:hAnsi="Symbol" w:hint="default"/>
      </w:rPr>
    </w:lvl>
    <w:lvl w:ilvl="1" w:tplc="439C1F04" w:tentative="1">
      <w:start w:val="1"/>
      <w:numFmt w:val="bullet"/>
      <w:lvlText w:val="o"/>
      <w:lvlJc w:val="left"/>
      <w:pPr>
        <w:ind w:left="1440" w:hanging="360"/>
      </w:pPr>
      <w:rPr>
        <w:rFonts w:ascii="Courier New" w:hAnsi="Courier New" w:hint="default"/>
      </w:rPr>
    </w:lvl>
    <w:lvl w:ilvl="2" w:tplc="616869F8" w:tentative="1">
      <w:start w:val="1"/>
      <w:numFmt w:val="bullet"/>
      <w:lvlText w:val=""/>
      <w:lvlJc w:val="left"/>
      <w:pPr>
        <w:ind w:left="2160" w:hanging="360"/>
      </w:pPr>
      <w:rPr>
        <w:rFonts w:ascii="Wingdings" w:hAnsi="Wingdings" w:hint="default"/>
      </w:rPr>
    </w:lvl>
    <w:lvl w:ilvl="3" w:tplc="A8566E54" w:tentative="1">
      <w:start w:val="1"/>
      <w:numFmt w:val="bullet"/>
      <w:lvlText w:val=""/>
      <w:lvlJc w:val="left"/>
      <w:pPr>
        <w:ind w:left="2880" w:hanging="360"/>
      </w:pPr>
      <w:rPr>
        <w:rFonts w:ascii="Symbol" w:hAnsi="Symbol" w:hint="default"/>
      </w:rPr>
    </w:lvl>
    <w:lvl w:ilvl="4" w:tplc="F0F468DC" w:tentative="1">
      <w:start w:val="1"/>
      <w:numFmt w:val="bullet"/>
      <w:lvlText w:val="o"/>
      <w:lvlJc w:val="left"/>
      <w:pPr>
        <w:ind w:left="3600" w:hanging="360"/>
      </w:pPr>
      <w:rPr>
        <w:rFonts w:ascii="Courier New" w:hAnsi="Courier New" w:hint="default"/>
      </w:rPr>
    </w:lvl>
    <w:lvl w:ilvl="5" w:tplc="4F969264" w:tentative="1">
      <w:start w:val="1"/>
      <w:numFmt w:val="bullet"/>
      <w:lvlText w:val=""/>
      <w:lvlJc w:val="left"/>
      <w:pPr>
        <w:ind w:left="4320" w:hanging="360"/>
      </w:pPr>
      <w:rPr>
        <w:rFonts w:ascii="Wingdings" w:hAnsi="Wingdings" w:hint="default"/>
      </w:rPr>
    </w:lvl>
    <w:lvl w:ilvl="6" w:tplc="9C4ED51C" w:tentative="1">
      <w:start w:val="1"/>
      <w:numFmt w:val="bullet"/>
      <w:lvlText w:val=""/>
      <w:lvlJc w:val="left"/>
      <w:pPr>
        <w:ind w:left="5040" w:hanging="360"/>
      </w:pPr>
      <w:rPr>
        <w:rFonts w:ascii="Symbol" w:hAnsi="Symbol" w:hint="default"/>
      </w:rPr>
    </w:lvl>
    <w:lvl w:ilvl="7" w:tplc="120A4F9C" w:tentative="1">
      <w:start w:val="1"/>
      <w:numFmt w:val="bullet"/>
      <w:lvlText w:val="o"/>
      <w:lvlJc w:val="left"/>
      <w:pPr>
        <w:ind w:left="5760" w:hanging="360"/>
      </w:pPr>
      <w:rPr>
        <w:rFonts w:ascii="Courier New" w:hAnsi="Courier New" w:hint="default"/>
      </w:rPr>
    </w:lvl>
    <w:lvl w:ilvl="8" w:tplc="63807D18" w:tentative="1">
      <w:start w:val="1"/>
      <w:numFmt w:val="bullet"/>
      <w:lvlText w:val=""/>
      <w:lvlJc w:val="left"/>
      <w:pPr>
        <w:ind w:left="6480" w:hanging="360"/>
      </w:pPr>
      <w:rPr>
        <w:rFonts w:ascii="Wingdings" w:hAnsi="Wingdings" w:hint="default"/>
      </w:rPr>
    </w:lvl>
  </w:abstractNum>
  <w:abstractNum w:abstractNumId="2" w15:restartNumberingAfterBreak="0">
    <w:nsid w:val="26A2486A"/>
    <w:multiLevelType w:val="hybridMultilevel"/>
    <w:tmpl w:val="7E808786"/>
    <w:lvl w:ilvl="0" w:tplc="134A75A4">
      <w:start w:val="1"/>
      <w:numFmt w:val="bullet"/>
      <w:lvlText w:val=""/>
      <w:lvlJc w:val="left"/>
      <w:pPr>
        <w:ind w:left="1080" w:hanging="360"/>
      </w:pPr>
      <w:rPr>
        <w:rFonts w:ascii="Symbol" w:hAnsi="Symbol" w:hint="default"/>
      </w:rPr>
    </w:lvl>
    <w:lvl w:ilvl="1" w:tplc="9F24A6EA" w:tentative="1">
      <w:start w:val="1"/>
      <w:numFmt w:val="bullet"/>
      <w:lvlText w:val="o"/>
      <w:lvlJc w:val="left"/>
      <w:pPr>
        <w:ind w:left="1800" w:hanging="360"/>
      </w:pPr>
      <w:rPr>
        <w:rFonts w:ascii="Courier New" w:hAnsi="Courier New" w:hint="default"/>
      </w:rPr>
    </w:lvl>
    <w:lvl w:ilvl="2" w:tplc="FDEAA252" w:tentative="1">
      <w:start w:val="1"/>
      <w:numFmt w:val="bullet"/>
      <w:lvlText w:val=""/>
      <w:lvlJc w:val="left"/>
      <w:pPr>
        <w:ind w:left="2520" w:hanging="360"/>
      </w:pPr>
      <w:rPr>
        <w:rFonts w:ascii="Wingdings" w:hAnsi="Wingdings" w:hint="default"/>
      </w:rPr>
    </w:lvl>
    <w:lvl w:ilvl="3" w:tplc="8EEECA84" w:tentative="1">
      <w:start w:val="1"/>
      <w:numFmt w:val="bullet"/>
      <w:lvlText w:val=""/>
      <w:lvlJc w:val="left"/>
      <w:pPr>
        <w:ind w:left="3240" w:hanging="360"/>
      </w:pPr>
      <w:rPr>
        <w:rFonts w:ascii="Symbol" w:hAnsi="Symbol" w:hint="default"/>
      </w:rPr>
    </w:lvl>
    <w:lvl w:ilvl="4" w:tplc="CEAC554A" w:tentative="1">
      <w:start w:val="1"/>
      <w:numFmt w:val="bullet"/>
      <w:lvlText w:val="o"/>
      <w:lvlJc w:val="left"/>
      <w:pPr>
        <w:ind w:left="3960" w:hanging="360"/>
      </w:pPr>
      <w:rPr>
        <w:rFonts w:ascii="Courier New" w:hAnsi="Courier New" w:hint="default"/>
      </w:rPr>
    </w:lvl>
    <w:lvl w:ilvl="5" w:tplc="588EA5E6" w:tentative="1">
      <w:start w:val="1"/>
      <w:numFmt w:val="bullet"/>
      <w:lvlText w:val=""/>
      <w:lvlJc w:val="left"/>
      <w:pPr>
        <w:ind w:left="4680" w:hanging="360"/>
      </w:pPr>
      <w:rPr>
        <w:rFonts w:ascii="Wingdings" w:hAnsi="Wingdings" w:hint="default"/>
      </w:rPr>
    </w:lvl>
    <w:lvl w:ilvl="6" w:tplc="17DA5A8C" w:tentative="1">
      <w:start w:val="1"/>
      <w:numFmt w:val="bullet"/>
      <w:lvlText w:val=""/>
      <w:lvlJc w:val="left"/>
      <w:pPr>
        <w:ind w:left="5400" w:hanging="360"/>
      </w:pPr>
      <w:rPr>
        <w:rFonts w:ascii="Symbol" w:hAnsi="Symbol" w:hint="default"/>
      </w:rPr>
    </w:lvl>
    <w:lvl w:ilvl="7" w:tplc="47FE441A" w:tentative="1">
      <w:start w:val="1"/>
      <w:numFmt w:val="bullet"/>
      <w:lvlText w:val="o"/>
      <w:lvlJc w:val="left"/>
      <w:pPr>
        <w:ind w:left="6120" w:hanging="360"/>
      </w:pPr>
      <w:rPr>
        <w:rFonts w:ascii="Courier New" w:hAnsi="Courier New" w:hint="default"/>
      </w:rPr>
    </w:lvl>
    <w:lvl w:ilvl="8" w:tplc="EE409C4E" w:tentative="1">
      <w:start w:val="1"/>
      <w:numFmt w:val="bullet"/>
      <w:lvlText w:val=""/>
      <w:lvlJc w:val="left"/>
      <w:pPr>
        <w:ind w:left="6840" w:hanging="360"/>
      </w:pPr>
      <w:rPr>
        <w:rFonts w:ascii="Wingdings" w:hAnsi="Wingdings" w:hint="default"/>
      </w:rPr>
    </w:lvl>
  </w:abstractNum>
  <w:abstractNum w:abstractNumId="3" w15:restartNumberingAfterBreak="0">
    <w:nsid w:val="2D316D6D"/>
    <w:multiLevelType w:val="hybridMultilevel"/>
    <w:tmpl w:val="7C6CE00C"/>
    <w:lvl w:ilvl="0" w:tplc="FA58C484">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tplc="7B4EF522">
      <w:numFmt w:val="decimal"/>
      <w:lvlText w:val=""/>
      <w:lvlJc w:val="left"/>
      <w:rPr>
        <w:rFonts w:cs="Times New Roman"/>
      </w:rPr>
    </w:lvl>
    <w:lvl w:ilvl="2" w:tplc="C4AC746C">
      <w:numFmt w:val="decimal"/>
      <w:lvlText w:val=""/>
      <w:lvlJc w:val="left"/>
      <w:rPr>
        <w:rFonts w:cs="Times New Roman"/>
      </w:rPr>
    </w:lvl>
    <w:lvl w:ilvl="3" w:tplc="D64E093E">
      <w:numFmt w:val="decimal"/>
      <w:lvlText w:val=""/>
      <w:lvlJc w:val="left"/>
      <w:rPr>
        <w:rFonts w:cs="Times New Roman"/>
      </w:rPr>
    </w:lvl>
    <w:lvl w:ilvl="4" w:tplc="FC6A3388">
      <w:numFmt w:val="decimal"/>
      <w:lvlText w:val=""/>
      <w:lvlJc w:val="left"/>
      <w:rPr>
        <w:rFonts w:cs="Times New Roman"/>
      </w:rPr>
    </w:lvl>
    <w:lvl w:ilvl="5" w:tplc="444C765E">
      <w:numFmt w:val="decimal"/>
      <w:lvlText w:val=""/>
      <w:lvlJc w:val="left"/>
      <w:rPr>
        <w:rFonts w:cs="Times New Roman"/>
      </w:rPr>
    </w:lvl>
    <w:lvl w:ilvl="6" w:tplc="7B7A9386">
      <w:numFmt w:val="decimal"/>
      <w:lvlText w:val=""/>
      <w:lvlJc w:val="left"/>
      <w:rPr>
        <w:rFonts w:cs="Times New Roman"/>
      </w:rPr>
    </w:lvl>
    <w:lvl w:ilvl="7" w:tplc="F642E498">
      <w:numFmt w:val="decimal"/>
      <w:lvlText w:val=""/>
      <w:lvlJc w:val="left"/>
      <w:rPr>
        <w:rFonts w:cs="Times New Roman"/>
      </w:rPr>
    </w:lvl>
    <w:lvl w:ilvl="8" w:tplc="36CC836A">
      <w:numFmt w:val="decimal"/>
      <w:lvlText w:val=""/>
      <w:lvlJc w:val="left"/>
      <w:rPr>
        <w:rFonts w:cs="Times New Roman"/>
      </w:rPr>
    </w:lvl>
  </w:abstractNum>
  <w:abstractNum w:abstractNumId="4" w15:restartNumberingAfterBreak="0">
    <w:nsid w:val="31430488"/>
    <w:multiLevelType w:val="multilevel"/>
    <w:tmpl w:val="F9B4F8EE"/>
    <w:lvl w:ilvl="0">
      <w:start w:val="1"/>
      <w:numFmt w:val="decimal"/>
      <w:pStyle w:val="St1"/>
      <w:lvlText w:val="%1."/>
      <w:lvlJc w:val="left"/>
      <w:pPr>
        <w:ind w:left="501" w:hanging="360"/>
      </w:pPr>
      <w:rPr>
        <w:rFonts w:hint="default"/>
      </w:rPr>
    </w:lvl>
    <w:lvl w:ilvl="1">
      <w:start w:val="1"/>
      <w:numFmt w:val="decimal"/>
      <w:pStyle w:val="St2"/>
      <w:lvlText w:val="%1.%2."/>
      <w:lvlJc w:val="left"/>
      <w:pPr>
        <w:ind w:left="283" w:firstLine="0"/>
      </w:pPr>
      <w:rPr>
        <w:rFonts w:ascii="Times New Roman" w:hAnsi="Times New Roman" w:cs="Times New Roman" w:hint="default"/>
        <w:b w:val="0"/>
        <w:strike w:val="0"/>
      </w:rPr>
    </w:lvl>
    <w:lvl w:ilvl="2">
      <w:start w:val="1"/>
      <w:numFmt w:val="decimal"/>
      <w:pStyle w:val="St3"/>
      <w:lvlText w:val="%1.%2.%3."/>
      <w:lvlJc w:val="left"/>
      <w:pPr>
        <w:tabs>
          <w:tab w:val="num" w:pos="992"/>
        </w:tabs>
        <w:ind w:left="141" w:firstLine="0"/>
      </w:pPr>
      <w:rPr>
        <w:rFonts w:ascii="Times New Roman" w:hAnsi="Times New Roman" w:cs="Times New Roman" w:hint="default"/>
        <w:b w:val="0"/>
      </w:rPr>
    </w:lvl>
    <w:lvl w:ilvl="3">
      <w:start w:val="1"/>
      <w:numFmt w:val="decimal"/>
      <w:lvlText w:val="%1.%2.%3.%4."/>
      <w:lvlJc w:val="left"/>
      <w:pPr>
        <w:ind w:left="1869" w:hanging="648"/>
      </w:pPr>
      <w:rPr>
        <w:rFonts w:hint="default"/>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5" w15:restartNumberingAfterBreak="0">
    <w:nsid w:val="327D226D"/>
    <w:multiLevelType w:val="hybridMultilevel"/>
    <w:tmpl w:val="DBBA0480"/>
    <w:lvl w:ilvl="0" w:tplc="CADCD58C">
      <w:start w:val="1"/>
      <w:numFmt w:val="bullet"/>
      <w:lvlText w:val=""/>
      <w:lvlJc w:val="left"/>
      <w:pPr>
        <w:ind w:left="720" w:hanging="360"/>
      </w:pPr>
      <w:rPr>
        <w:rFonts w:ascii="Symbol" w:hAnsi="Symbol" w:hint="default"/>
      </w:rPr>
    </w:lvl>
    <w:lvl w:ilvl="1" w:tplc="01D801F6" w:tentative="1">
      <w:start w:val="1"/>
      <w:numFmt w:val="bullet"/>
      <w:lvlText w:val="o"/>
      <w:lvlJc w:val="left"/>
      <w:pPr>
        <w:ind w:left="1440" w:hanging="360"/>
      </w:pPr>
      <w:rPr>
        <w:rFonts w:ascii="Courier New" w:hAnsi="Courier New" w:hint="default"/>
      </w:rPr>
    </w:lvl>
    <w:lvl w:ilvl="2" w:tplc="A194239A" w:tentative="1">
      <w:start w:val="1"/>
      <w:numFmt w:val="bullet"/>
      <w:lvlText w:val=""/>
      <w:lvlJc w:val="left"/>
      <w:pPr>
        <w:ind w:left="2160" w:hanging="360"/>
      </w:pPr>
      <w:rPr>
        <w:rFonts w:ascii="Wingdings" w:hAnsi="Wingdings" w:hint="default"/>
      </w:rPr>
    </w:lvl>
    <w:lvl w:ilvl="3" w:tplc="34D40314" w:tentative="1">
      <w:start w:val="1"/>
      <w:numFmt w:val="bullet"/>
      <w:lvlText w:val=""/>
      <w:lvlJc w:val="left"/>
      <w:pPr>
        <w:ind w:left="2880" w:hanging="360"/>
      </w:pPr>
      <w:rPr>
        <w:rFonts w:ascii="Symbol" w:hAnsi="Symbol" w:hint="default"/>
      </w:rPr>
    </w:lvl>
    <w:lvl w:ilvl="4" w:tplc="7EC262CC" w:tentative="1">
      <w:start w:val="1"/>
      <w:numFmt w:val="bullet"/>
      <w:lvlText w:val="o"/>
      <w:lvlJc w:val="left"/>
      <w:pPr>
        <w:ind w:left="3600" w:hanging="360"/>
      </w:pPr>
      <w:rPr>
        <w:rFonts w:ascii="Courier New" w:hAnsi="Courier New" w:hint="default"/>
      </w:rPr>
    </w:lvl>
    <w:lvl w:ilvl="5" w:tplc="8C4A5784" w:tentative="1">
      <w:start w:val="1"/>
      <w:numFmt w:val="bullet"/>
      <w:lvlText w:val=""/>
      <w:lvlJc w:val="left"/>
      <w:pPr>
        <w:ind w:left="4320" w:hanging="360"/>
      </w:pPr>
      <w:rPr>
        <w:rFonts w:ascii="Wingdings" w:hAnsi="Wingdings" w:hint="default"/>
      </w:rPr>
    </w:lvl>
    <w:lvl w:ilvl="6" w:tplc="BDE6A3D2" w:tentative="1">
      <w:start w:val="1"/>
      <w:numFmt w:val="bullet"/>
      <w:lvlText w:val=""/>
      <w:lvlJc w:val="left"/>
      <w:pPr>
        <w:ind w:left="5040" w:hanging="360"/>
      </w:pPr>
      <w:rPr>
        <w:rFonts w:ascii="Symbol" w:hAnsi="Symbol" w:hint="default"/>
      </w:rPr>
    </w:lvl>
    <w:lvl w:ilvl="7" w:tplc="2EE42E3A" w:tentative="1">
      <w:start w:val="1"/>
      <w:numFmt w:val="bullet"/>
      <w:lvlText w:val="o"/>
      <w:lvlJc w:val="left"/>
      <w:pPr>
        <w:ind w:left="5760" w:hanging="360"/>
      </w:pPr>
      <w:rPr>
        <w:rFonts w:ascii="Courier New" w:hAnsi="Courier New" w:hint="default"/>
      </w:rPr>
    </w:lvl>
    <w:lvl w:ilvl="8" w:tplc="C75823D8" w:tentative="1">
      <w:start w:val="1"/>
      <w:numFmt w:val="bullet"/>
      <w:lvlText w:val=""/>
      <w:lvlJc w:val="left"/>
      <w:pPr>
        <w:ind w:left="6480" w:hanging="360"/>
      </w:pPr>
      <w:rPr>
        <w:rFonts w:ascii="Wingdings" w:hAnsi="Wingdings" w:hint="default"/>
      </w:rPr>
    </w:lvl>
  </w:abstractNum>
  <w:abstractNum w:abstractNumId="6" w15:restartNumberingAfterBreak="0">
    <w:nsid w:val="368B3A6D"/>
    <w:multiLevelType w:val="hybridMultilevel"/>
    <w:tmpl w:val="46CEB706"/>
    <w:lvl w:ilvl="0" w:tplc="7DCC8E62">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tplc="AD422EC2">
      <w:numFmt w:val="decimal"/>
      <w:lvlText w:val=""/>
      <w:lvlJc w:val="left"/>
      <w:rPr>
        <w:rFonts w:cs="Times New Roman"/>
      </w:rPr>
    </w:lvl>
    <w:lvl w:ilvl="2" w:tplc="1DCEB394">
      <w:numFmt w:val="decimal"/>
      <w:lvlText w:val=""/>
      <w:lvlJc w:val="left"/>
      <w:rPr>
        <w:rFonts w:cs="Times New Roman"/>
      </w:rPr>
    </w:lvl>
    <w:lvl w:ilvl="3" w:tplc="C6BE1330">
      <w:numFmt w:val="decimal"/>
      <w:lvlText w:val=""/>
      <w:lvlJc w:val="left"/>
      <w:rPr>
        <w:rFonts w:cs="Times New Roman"/>
      </w:rPr>
    </w:lvl>
    <w:lvl w:ilvl="4" w:tplc="91D28A0A">
      <w:numFmt w:val="decimal"/>
      <w:lvlText w:val=""/>
      <w:lvlJc w:val="left"/>
      <w:rPr>
        <w:rFonts w:cs="Times New Roman"/>
      </w:rPr>
    </w:lvl>
    <w:lvl w:ilvl="5" w:tplc="0AE4064E">
      <w:numFmt w:val="decimal"/>
      <w:lvlText w:val=""/>
      <w:lvlJc w:val="left"/>
      <w:rPr>
        <w:rFonts w:cs="Times New Roman"/>
      </w:rPr>
    </w:lvl>
    <w:lvl w:ilvl="6" w:tplc="553A03A8">
      <w:numFmt w:val="decimal"/>
      <w:lvlText w:val=""/>
      <w:lvlJc w:val="left"/>
      <w:rPr>
        <w:rFonts w:cs="Times New Roman"/>
      </w:rPr>
    </w:lvl>
    <w:lvl w:ilvl="7" w:tplc="9E3AA658">
      <w:numFmt w:val="decimal"/>
      <w:lvlText w:val=""/>
      <w:lvlJc w:val="left"/>
      <w:rPr>
        <w:rFonts w:cs="Times New Roman"/>
      </w:rPr>
    </w:lvl>
    <w:lvl w:ilvl="8" w:tplc="EE40CA3C">
      <w:numFmt w:val="decimal"/>
      <w:lvlText w:val=""/>
      <w:lvlJc w:val="left"/>
      <w:rPr>
        <w:rFonts w:cs="Times New Roman"/>
      </w:rPr>
    </w:lvl>
  </w:abstractNum>
  <w:abstractNum w:abstractNumId="7" w15:restartNumberingAfterBreak="0">
    <w:nsid w:val="68C231F2"/>
    <w:multiLevelType w:val="hybridMultilevel"/>
    <w:tmpl w:val="7A546A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6C861005"/>
    <w:multiLevelType w:val="multilevel"/>
    <w:tmpl w:val="66DC7522"/>
    <w:lvl w:ilvl="0">
      <w:start w:val="1"/>
      <w:numFmt w:val="decimal"/>
      <w:pStyle w:val="DodatokStyle1"/>
      <w:lvlText w:val="%1."/>
      <w:lvlJc w:val="left"/>
      <w:pPr>
        <w:ind w:left="360" w:hanging="20"/>
      </w:pPr>
      <w:rPr>
        <w:rFonts w:hint="default"/>
      </w:rPr>
    </w:lvl>
    <w:lvl w:ilvl="1">
      <w:start w:val="1"/>
      <w:numFmt w:val="decimal"/>
      <w:pStyle w:val="DodatokStyle2"/>
      <w:lvlText w:val="%1.%2."/>
      <w:lvlJc w:val="left"/>
      <w:pPr>
        <w:tabs>
          <w:tab w:val="num" w:pos="7599"/>
        </w:tabs>
        <w:ind w:left="6748" w:firstLine="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C511617"/>
    <w:multiLevelType w:val="hybridMultilevel"/>
    <w:tmpl w:val="419A384E"/>
    <w:lvl w:ilvl="0" w:tplc="167CDA62">
      <w:start w:val="1"/>
      <w:numFmt w:val="bullet"/>
      <w:lvlText w:val="•"/>
      <w:lvlJc w:val="left"/>
      <w:rPr>
        <w:rFonts w:ascii="Arial" w:eastAsia="Times New Roman" w:hAnsi="Arial"/>
        <w:b w:val="0"/>
        <w:i w:val="0"/>
        <w:smallCaps w:val="0"/>
        <w:strike w:val="0"/>
        <w:color w:val="000000"/>
        <w:spacing w:val="0"/>
        <w:w w:val="100"/>
        <w:position w:val="0"/>
        <w:sz w:val="20"/>
        <w:u w:val="none"/>
      </w:rPr>
    </w:lvl>
    <w:lvl w:ilvl="1" w:tplc="78222B56">
      <w:numFmt w:val="decimal"/>
      <w:lvlText w:val=""/>
      <w:lvlJc w:val="left"/>
      <w:rPr>
        <w:rFonts w:cs="Times New Roman"/>
      </w:rPr>
    </w:lvl>
    <w:lvl w:ilvl="2" w:tplc="F03CEA84">
      <w:numFmt w:val="decimal"/>
      <w:lvlText w:val=""/>
      <w:lvlJc w:val="left"/>
      <w:rPr>
        <w:rFonts w:cs="Times New Roman"/>
      </w:rPr>
    </w:lvl>
    <w:lvl w:ilvl="3" w:tplc="4818262C">
      <w:numFmt w:val="decimal"/>
      <w:lvlText w:val=""/>
      <w:lvlJc w:val="left"/>
      <w:rPr>
        <w:rFonts w:cs="Times New Roman"/>
      </w:rPr>
    </w:lvl>
    <w:lvl w:ilvl="4" w:tplc="E0C0AD36">
      <w:numFmt w:val="decimal"/>
      <w:lvlText w:val=""/>
      <w:lvlJc w:val="left"/>
      <w:rPr>
        <w:rFonts w:cs="Times New Roman"/>
      </w:rPr>
    </w:lvl>
    <w:lvl w:ilvl="5" w:tplc="6A98AB20">
      <w:numFmt w:val="decimal"/>
      <w:lvlText w:val=""/>
      <w:lvlJc w:val="left"/>
      <w:rPr>
        <w:rFonts w:cs="Times New Roman"/>
      </w:rPr>
    </w:lvl>
    <w:lvl w:ilvl="6" w:tplc="54E67758">
      <w:numFmt w:val="decimal"/>
      <w:lvlText w:val=""/>
      <w:lvlJc w:val="left"/>
      <w:rPr>
        <w:rFonts w:cs="Times New Roman"/>
      </w:rPr>
    </w:lvl>
    <w:lvl w:ilvl="7" w:tplc="F554511E">
      <w:numFmt w:val="decimal"/>
      <w:lvlText w:val=""/>
      <w:lvlJc w:val="left"/>
      <w:rPr>
        <w:rFonts w:cs="Times New Roman"/>
      </w:rPr>
    </w:lvl>
    <w:lvl w:ilvl="8" w:tplc="5F00FF22">
      <w:numFmt w:val="decimal"/>
      <w:lvlText w:val=""/>
      <w:lvlJc w:val="left"/>
      <w:rPr>
        <w:rFonts w:cs="Times New Roman"/>
      </w:rPr>
    </w:lvl>
  </w:abstractNum>
  <w:num w:numId="1">
    <w:abstractNumId w:val="7"/>
  </w:num>
  <w:num w:numId="2">
    <w:abstractNumId w:val="6"/>
  </w:num>
  <w:num w:numId="3">
    <w:abstractNumId w:val="4"/>
  </w:num>
  <w:num w:numId="4">
    <w:abstractNumId w:val="0"/>
  </w:num>
  <w:num w:numId="5">
    <w:abstractNumId w:val="5"/>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263E60-9880-490B-B860-F2EEA288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819"/>
        <w:tab w:val="right" w:pos="9639"/>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819"/>
        <w:tab w:val="right" w:pos="9639"/>
      </w:tabs>
      <w:spacing w:after="0" w:line="240" w:lineRule="auto"/>
    </w:pPr>
  </w:style>
  <w:style w:type="character" w:customStyle="1" w:styleId="a6">
    <w:name w:val="Нижний колонтитул Знак"/>
    <w:basedOn w:val="a0"/>
    <w:link w:val="a5"/>
    <w:uiPriority w:val="99"/>
  </w:style>
  <w:style w:type="paragraph" w:customStyle="1" w:styleId="rvps2">
    <w:name w:val="rvps2"/>
    <w:basedOn w:val="a"/>
    <w:pPr>
      <w:spacing w:after="100" w:afterAutospacing="1" w:line="240" w:lineRule="auto"/>
    </w:pPr>
    <w:rPr>
      <w:rFonts w:ascii="Times New Roman" w:hAnsi="Times New Roman" w:cs="Times New Roman"/>
      <w:sz w:val="24"/>
      <w:szCs w:val="24"/>
      <w:lang w:eastAsia="uk-UA"/>
    </w:rPr>
  </w:style>
  <w:style w:type="character" w:styleId="a7">
    <w:name w:val="annotation reference"/>
    <w:basedOn w:val="a0"/>
    <w:uiPriority w:val="99"/>
    <w:semiHidden/>
    <w:unhideWhenUsed/>
    <w:rPr>
      <w:sz w:val="16"/>
      <w:szCs w:val="16"/>
    </w:r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ечания Знак"/>
    <w:basedOn w:val="a0"/>
    <w:link w:val="a8"/>
    <w:uiPriority w:val="99"/>
    <w:semiHidden/>
    <w:rPr>
      <w:sz w:val="20"/>
      <w:szCs w:val="20"/>
    </w:rPr>
  </w:style>
  <w:style w:type="paragraph" w:styleId="aa">
    <w:name w:val="annotation subject"/>
    <w:basedOn w:val="a8"/>
    <w:next w:val="a8"/>
    <w:link w:val="ab"/>
    <w:uiPriority w:val="99"/>
    <w:semiHidden/>
    <w:unhideWhenUsed/>
    <w:rPr>
      <w:b/>
      <w:bCs/>
    </w:rPr>
  </w:style>
  <w:style w:type="character" w:customStyle="1" w:styleId="ab">
    <w:name w:val="Тема примечания Знак"/>
    <w:basedOn w:val="a9"/>
    <w:link w:val="aa"/>
    <w:uiPriority w:val="99"/>
    <w:semiHidden/>
    <w:rPr>
      <w:b/>
      <w:bCs/>
      <w:sz w:val="20"/>
      <w:szCs w:val="20"/>
    </w:rPr>
  </w:style>
  <w:style w:type="paragraph" w:styleId="ac">
    <w:name w:val="Balloon Text"/>
    <w:basedOn w:val="a"/>
    <w:link w:val="ad"/>
    <w:uiPriority w:val="99"/>
    <w:semiHidden/>
    <w:unhideWhenUse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Pr>
      <w:rFonts w:ascii="Segoe UI" w:hAnsi="Segoe UI" w:cs="Segoe UI"/>
      <w:sz w:val="18"/>
      <w:szCs w:val="18"/>
    </w:rPr>
  </w:style>
  <w:style w:type="character" w:customStyle="1" w:styleId="ae">
    <w:name w:val="Основной текст_"/>
    <w:basedOn w:val="a0"/>
    <w:link w:val="11"/>
    <w:locked/>
    <w:rPr>
      <w:rFonts w:ascii="Times New Roman" w:hAnsi="Times New Roman" w:cs="Times New Roman"/>
      <w:shd w:val="clear" w:color="auto" w:fill="FFFFFF"/>
    </w:rPr>
  </w:style>
  <w:style w:type="paragraph" w:customStyle="1" w:styleId="11">
    <w:name w:val="Основной текст1"/>
    <w:basedOn w:val="a"/>
    <w:link w:val="ae"/>
    <w:qFormat/>
    <w:pPr>
      <w:widowControl w:val="0"/>
      <w:shd w:val="clear" w:color="auto" w:fill="FFFFFF"/>
      <w:spacing w:after="260" w:line="276" w:lineRule="auto"/>
      <w:jc w:val="both"/>
    </w:pPr>
    <w:rPr>
      <w:rFonts w:ascii="Times New Roman" w:hAnsi="Times New Roman" w:cs="Times New Roman"/>
    </w:rPr>
  </w:style>
  <w:style w:type="character" w:customStyle="1" w:styleId="3">
    <w:name w:val="Заголовок №3_"/>
    <w:basedOn w:val="a0"/>
    <w:link w:val="30"/>
    <w:uiPriority w:val="99"/>
    <w:locked/>
    <w:rPr>
      <w:rFonts w:ascii="Times New Roman" w:eastAsia="Times New Roman" w:hAnsi="Times New Roman" w:cs="Times New Roman"/>
      <w:b/>
      <w:bCs/>
      <w:color w:val="000000"/>
      <w:sz w:val="24"/>
      <w:szCs w:val="24"/>
      <w:shd w:val="clear" w:color="auto" w:fill="FFFFFF"/>
      <w:lang w:eastAsia="uk-UA"/>
    </w:rPr>
  </w:style>
  <w:style w:type="paragraph" w:customStyle="1" w:styleId="30">
    <w:name w:val="Заголовок №3"/>
    <w:basedOn w:val="a"/>
    <w:link w:val="3"/>
    <w:uiPriority w:val="99"/>
    <w:pPr>
      <w:widowControl w:val="0"/>
      <w:shd w:val="clear" w:color="auto" w:fill="FFFFFF"/>
      <w:spacing w:after="260" w:line="240" w:lineRule="auto"/>
      <w:jc w:val="both"/>
      <w:outlineLvl w:val="2"/>
    </w:pPr>
    <w:rPr>
      <w:rFonts w:ascii="Times New Roman" w:eastAsia="Times New Roman" w:hAnsi="Times New Roman" w:cs="Times New Roman"/>
      <w:b/>
      <w:bCs/>
      <w:color w:val="000000"/>
      <w:sz w:val="24"/>
      <w:szCs w:val="24"/>
      <w:lang w:eastAsia="uk-UA"/>
    </w:rPr>
  </w:style>
  <w:style w:type="paragraph" w:customStyle="1" w:styleId="St1">
    <w:name w:val="St 1"/>
    <w:basedOn w:val="1"/>
    <w:qFormat/>
    <w:pPr>
      <w:widowControl w:val="0"/>
      <w:numPr>
        <w:numId w:val="3"/>
      </w:numPr>
      <w:tabs>
        <w:tab w:val="left" w:pos="337"/>
        <w:tab w:val="left" w:pos="1134"/>
        <w:tab w:val="left" w:pos="1418"/>
      </w:tabs>
      <w:spacing w:before="360" w:after="240" w:line="240" w:lineRule="auto"/>
      <w:ind w:left="0" w:firstLine="0"/>
      <w:jc w:val="both"/>
    </w:pPr>
    <w:rPr>
      <w:rFonts w:ascii="Times New Roman Bold" w:hAnsi="Times New Roman Bold"/>
      <w:b/>
      <w:caps/>
      <w:color w:val="auto"/>
      <w:sz w:val="24"/>
      <w:lang w:eastAsia="uk-UA"/>
    </w:rPr>
  </w:style>
  <w:style w:type="paragraph" w:customStyle="1" w:styleId="St2">
    <w:name w:val="St 2"/>
    <w:basedOn w:val="St1"/>
    <w:qFormat/>
    <w:pPr>
      <w:keepNext w:val="0"/>
      <w:keepLines w:val="0"/>
      <w:widowControl/>
      <w:numPr>
        <w:ilvl w:val="1"/>
      </w:numPr>
      <w:tabs>
        <w:tab w:val="clear" w:pos="337"/>
        <w:tab w:val="clear" w:pos="1134"/>
        <w:tab w:val="clear" w:pos="1418"/>
      </w:tabs>
      <w:ind w:left="0"/>
    </w:pPr>
    <w:rPr>
      <w:rFonts w:ascii="Times New Roman" w:hAnsi="Times New Roman"/>
      <w:b w:val="0"/>
      <w:caps w:val="0"/>
      <w:lang w:val="en-US"/>
    </w:rPr>
  </w:style>
  <w:style w:type="paragraph" w:customStyle="1" w:styleId="St3">
    <w:name w:val="St 3"/>
    <w:basedOn w:val="af"/>
    <w:qFormat/>
    <w:pPr>
      <w:widowControl w:val="0"/>
      <w:numPr>
        <w:ilvl w:val="2"/>
        <w:numId w:val="3"/>
      </w:numPr>
      <w:tabs>
        <w:tab w:val="num" w:pos="360"/>
      </w:tabs>
      <w:spacing w:before="120" w:after="120" w:line="240" w:lineRule="auto"/>
      <w:ind w:left="720"/>
      <w:contextualSpacing w:val="0"/>
      <w:jc w:val="both"/>
    </w:pPr>
    <w:rPr>
      <w:rFonts w:ascii="Times New Roman" w:eastAsia="Courier New" w:hAnsi="Times New Roman" w:cs="Courier New"/>
      <w:color w:val="000000"/>
      <w:sz w:val="24"/>
      <w:szCs w:val="24"/>
      <w:lang w:eastAsia="uk-UA"/>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
    <w:name w:val="List Paragraph"/>
    <w:aliases w:val="Bullet 1,CA bullets,Citation List,Heading 31,List Paragraph Char Char,List Paragraph Char Char Char,List Paragraph1,List Paragraph11,List1,List_Paragraph,Multilevel para_II,Normal 2,Numbered Indented Text,bei normal,lp1,Глава 1.1.1"/>
    <w:basedOn w:val="a"/>
    <w:link w:val="af0"/>
    <w:uiPriority w:val="34"/>
    <w:qFormat/>
    <w:pPr>
      <w:ind w:left="720"/>
      <w:contextualSpacing/>
    </w:pPr>
  </w:style>
  <w:style w:type="character" w:customStyle="1" w:styleId="normaltextrun">
    <w:name w:val="normaltextrun"/>
    <w:basedOn w:val="a0"/>
    <w:qFormat/>
  </w:style>
  <w:style w:type="character" w:customStyle="1" w:styleId="eop">
    <w:name w:val="eop"/>
    <w:basedOn w:val="a0"/>
  </w:style>
  <w:style w:type="character" w:customStyle="1" w:styleId="DeltaViewDeletion">
    <w:name w:val="DeltaView Deletion"/>
    <w:uiPriority w:val="99"/>
    <w:rPr>
      <w:strike/>
      <w:color w:val="FF0000"/>
    </w:rPr>
  </w:style>
  <w:style w:type="paragraph" w:styleId="af1">
    <w:name w:val="No Spacing"/>
    <w:uiPriority w:val="99"/>
    <w:qFormat/>
    <w:pPr>
      <w:widowControl w:val="0"/>
      <w:spacing w:after="0" w:line="240" w:lineRule="auto"/>
    </w:pPr>
    <w:rPr>
      <w:rFonts w:ascii="Courier New" w:eastAsia="Courier New" w:hAnsi="Courier New" w:cs="Courier New"/>
      <w:color w:val="000000"/>
      <w:sz w:val="24"/>
      <w:szCs w:val="24"/>
      <w:lang w:eastAsia="uk-UA"/>
    </w:rPr>
  </w:style>
  <w:style w:type="character" w:customStyle="1" w:styleId="af0">
    <w:name w:val="Абзац списка Знак"/>
    <w:aliases w:val="Bullet 1 Знак,CA bullets Знак,Citation List Знак,Heading 31 Знак,List Paragraph Char Char Знак,List Paragraph Char Char Char Знак,List Paragraph1 Знак,List Paragraph11 Знак,List1 Знак,List_Paragraph Знак,Multilevel para_II Знак"/>
    <w:link w:val="af"/>
    <w:uiPriority w:val="34"/>
    <w:qFormat/>
  </w:style>
  <w:style w:type="paragraph" w:customStyle="1" w:styleId="DodatokStyle1">
    <w:name w:val="Dodatok Style1"/>
    <w:basedOn w:val="af"/>
    <w:qFormat/>
    <w:pPr>
      <w:widowControl w:val="0"/>
      <w:numPr>
        <w:numId w:val="6"/>
      </w:numPr>
      <w:spacing w:after="0" w:line="240" w:lineRule="auto"/>
      <w:jc w:val="both"/>
    </w:pPr>
    <w:rPr>
      <w:rFonts w:ascii="Times New Roman" w:eastAsia="Courier New" w:hAnsi="Times New Roman" w:cs="Courier New"/>
      <w:b/>
      <w:bCs/>
      <w:color w:val="000000"/>
      <w:sz w:val="24"/>
      <w:szCs w:val="24"/>
      <w:lang w:eastAsia="uk-UA"/>
    </w:rPr>
  </w:style>
  <w:style w:type="paragraph" w:customStyle="1" w:styleId="DodatokStyle2">
    <w:name w:val="Dodatok Style 2"/>
    <w:basedOn w:val="DodatokStyle1"/>
    <w:qFormat/>
    <w:pPr>
      <w:numPr>
        <w:ilvl w:val="1"/>
      </w:numPr>
      <w:tabs>
        <w:tab w:val="clear" w:pos="7599"/>
        <w:tab w:val="num" w:pos="851"/>
      </w:tabs>
      <w:ind w:left="0"/>
    </w:pPr>
    <w:rPr>
      <w:b w:val="0"/>
      <w:bCs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07377">
      <w:bodyDiv w:val="1"/>
      <w:marLeft w:val="0"/>
      <w:marRight w:val="0"/>
      <w:marTop w:val="0"/>
      <w:marBottom w:val="0"/>
      <w:divBdr>
        <w:top w:val="none" w:sz="0" w:space="0" w:color="auto"/>
        <w:left w:val="none" w:sz="0" w:space="0" w:color="auto"/>
        <w:bottom w:val="none" w:sz="0" w:space="0" w:color="auto"/>
        <w:right w:val="none" w:sz="0" w:space="0" w:color="auto"/>
      </w:divBdr>
    </w:div>
    <w:div w:id="166527647">
      <w:bodyDiv w:val="1"/>
      <w:marLeft w:val="0"/>
      <w:marRight w:val="0"/>
      <w:marTop w:val="0"/>
      <w:marBottom w:val="0"/>
      <w:divBdr>
        <w:top w:val="none" w:sz="0" w:space="0" w:color="auto"/>
        <w:left w:val="none" w:sz="0" w:space="0" w:color="auto"/>
        <w:bottom w:val="none" w:sz="0" w:space="0" w:color="auto"/>
        <w:right w:val="none" w:sz="0" w:space="0" w:color="auto"/>
      </w:divBdr>
    </w:div>
    <w:div w:id="651716037">
      <w:bodyDiv w:val="1"/>
      <w:marLeft w:val="0"/>
      <w:marRight w:val="0"/>
      <w:marTop w:val="0"/>
      <w:marBottom w:val="0"/>
      <w:divBdr>
        <w:top w:val="none" w:sz="0" w:space="0" w:color="auto"/>
        <w:left w:val="none" w:sz="0" w:space="0" w:color="auto"/>
        <w:bottom w:val="none" w:sz="0" w:space="0" w:color="auto"/>
        <w:right w:val="none" w:sz="0" w:space="0" w:color="auto"/>
      </w:divBdr>
    </w:div>
    <w:div w:id="879435184">
      <w:bodyDiv w:val="1"/>
      <w:marLeft w:val="0"/>
      <w:marRight w:val="0"/>
      <w:marTop w:val="0"/>
      <w:marBottom w:val="0"/>
      <w:divBdr>
        <w:top w:val="none" w:sz="0" w:space="0" w:color="auto"/>
        <w:left w:val="none" w:sz="0" w:space="0" w:color="auto"/>
        <w:bottom w:val="none" w:sz="0" w:space="0" w:color="auto"/>
        <w:right w:val="none" w:sz="0" w:space="0" w:color="auto"/>
      </w:divBdr>
    </w:div>
    <w:div w:id="130203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35</Pages>
  <Words>51211</Words>
  <Characters>29191</Characters>
  <Application>Microsoft Office Word</Application>
  <DocSecurity>0</DocSecurity>
  <Lines>243</Lines>
  <Paragraphs>160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Андріїв Юрій</dc:creator>
  <cp:lastModifiedBy>Микитко Лариса</cp:lastModifiedBy>
  <cp:revision>6</cp:revision>
  <dcterms:created xsi:type="dcterms:W3CDTF">2021-05-15T14:37:00Z</dcterms:created>
  <dcterms:modified xsi:type="dcterms:W3CDTF">2021-05-17T08:57:00Z</dcterms:modified>
</cp:coreProperties>
</file>