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08" w:lineRule="atLeast"/>
        <w:ind w:firstLine="56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C2C2C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віт</w:t>
      </w:r>
    </w:p>
    <w:p>
      <w:pPr>
        <w:shd w:val="clear" w:color="auto" w:fill="FFFFFF"/>
        <w:spacing w:after="0" w:line="208" w:lineRule="atLeast"/>
        <w:ind w:firstLine="567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про періодичне відстеження результативності наказу Міністерства енергетики та вугільної промисловості України від 16 листопада 2012 року № 905 «Про затвердження Змін до Правил технічної експлуатації електроустановок споживачів», зареєстрованого в Міністерстві юстиції України 04 грудня 2012 року за № 2020/22332</w:t>
      </w:r>
    </w:p>
    <w:p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1. Вид та назва регуляторного акта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Наказ Міністерства енергетики та вугільної промисловості України                    від 16 листопада 2012 року № 905 «Про затвердження Змін до Правил технічної експлуатації електроустановок споживачів» (далі – Наказ), зареєстрований в Міністерстві юстиції України 04 грудня 2012 року за 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2020/22332.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Дата набрання чинності – 24 грудня 2012 року.</w:t>
      </w:r>
    </w:p>
    <w:p>
      <w:pPr>
        <w:shd w:val="clear" w:color="auto" w:fill="FFFFFF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2. Назва виконавця заходів з відстеження</w:t>
      </w:r>
    </w:p>
    <w:p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Директорат електроенергетичного комплексу та розвитку ринку електричної енергії Міністерства енергетики України.</w:t>
      </w:r>
    </w:p>
    <w:p>
      <w:pPr>
        <w:shd w:val="clear" w:color="auto" w:fill="FFFFFF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3. Цілі прийняття акта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Метою прийняття Наказу є приведення діючих Правил технічної експлуатації електроустановок споживачів (далі – Правила) у відповідність до чинних нормативно-правових актів та нормативних документів, що вийшли в Україні після державної реєстрації Правил, а також проведення коригування нової редакції Правил шляхом усунення друкарських помилок та виправлення орфографічних помилок.</w:t>
      </w:r>
    </w:p>
    <w:p>
      <w:pPr>
        <w:shd w:val="clear" w:color="auto" w:fill="FFFFFF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4. Строк виконання заходів з відстеження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 жовтня 2024 року – 05 листопада 2024 року.</w:t>
      </w:r>
    </w:p>
    <w:p>
      <w:pPr>
        <w:shd w:val="clear" w:color="auto" w:fill="FFFFFF"/>
        <w:spacing w:after="0" w:line="192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08" w:lineRule="atLeast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5. Тип відстеження</w:t>
      </w:r>
    </w:p>
    <w:p>
      <w:pPr>
        <w:shd w:val="clear" w:color="auto" w:fill="FFFFFF"/>
        <w:spacing w:after="0" w:line="208" w:lineRule="atLeast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Періодичне.</w:t>
      </w:r>
    </w:p>
    <w:p>
      <w:pPr>
        <w:shd w:val="clear" w:color="auto" w:fill="FFFFFF"/>
        <w:spacing w:after="0" w:line="192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6. Методи одержання результатів відстеження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Методом одержання результатів відстеження є статистичні дані, отримані шляхом аналізу звернень операторів систем розподілу, громадських організацій та споживачів електричної енергії до Міненерго та Держенергонагляду, на яких розповсюджується дія акта.</w:t>
      </w:r>
    </w:p>
    <w:p>
      <w:pPr>
        <w:shd w:val="clear" w:color="auto" w:fill="FFFFFF"/>
        <w:spacing w:after="0" w:line="192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7. Дані та припущення, на основі яких відстежувалася результативність, а також способи одержання даних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Дані та припущення, на основі яких відстежується результативність Наказу, отримуються шляхом: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аналізу виявлених порушень вимог законодавства під час здійснення заходів з державного енергетичного нагляду (контролю);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аналізу вхідної кореспонденції Міненерго та Держенергонагляду, у тому числі, отриманої електронною поштою.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</w:p>
    <w:p>
      <w:pPr>
        <w:shd w:val="clear" w:color="auto" w:fill="FFFFFF"/>
        <w:spacing w:after="0" w:line="208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>
      <w:pPr>
        <w:shd w:val="clear" w:color="auto" w:fill="FFFFFF"/>
        <w:spacing w:after="0" w:line="208" w:lineRule="atLeast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8. Кількісні та якісні значення показників результативності акта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набрання чинності Наказу, його результативність визначається такими кількісними та якісними показниками:</w:t>
      </w:r>
      <w:r>
        <w:t xml:space="preserve"> </w:t>
      </w:r>
    </w:p>
    <w:p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період з 01 січня 2024 року по 05 листопада</w:t>
      </w:r>
      <w:bookmarkStart w:id="0" w:name="_GoBack"/>
      <w:bookmarkEnd w:id="0"/>
      <w:r>
        <w:rPr>
          <w:sz w:val="28"/>
          <w:szCs w:val="28"/>
          <w:lang w:val="uk-UA"/>
        </w:rPr>
        <w:t xml:space="preserve"> 2024 року </w:t>
      </w:r>
      <w:proofErr w:type="spellStart"/>
      <w:r>
        <w:rPr>
          <w:sz w:val="28"/>
          <w:szCs w:val="28"/>
          <w:lang w:val="uk-UA"/>
        </w:rPr>
        <w:t>Держенергонаглядом</w:t>
      </w:r>
      <w:proofErr w:type="spellEnd"/>
      <w:r>
        <w:rPr>
          <w:sz w:val="28"/>
          <w:szCs w:val="28"/>
          <w:lang w:val="uk-UA"/>
        </w:rPr>
        <w:t xml:space="preserve"> та його територіальними органами розглянуто 279 звернень від споживачів</w:t>
      </w:r>
      <w:r>
        <w:rPr>
          <w:color w:val="2C2C2C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електричної енергії щодо технічного стану електричних мереж, з них 42 від юридичних і фізичних осіб-підприємців;</w:t>
      </w:r>
    </w:p>
    <w:p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розглядів </w:t>
      </w:r>
      <w:proofErr w:type="spellStart"/>
      <w:r>
        <w:rPr>
          <w:sz w:val="28"/>
          <w:szCs w:val="28"/>
          <w:lang w:val="uk-UA"/>
        </w:rPr>
        <w:t>Держенергонаглядом</w:t>
      </w:r>
      <w:proofErr w:type="spellEnd"/>
      <w:r>
        <w:rPr>
          <w:sz w:val="28"/>
          <w:szCs w:val="28"/>
          <w:lang w:val="uk-UA"/>
        </w:rPr>
        <w:t xml:space="preserve"> звернень </w:t>
      </w:r>
      <w:r>
        <w:rPr>
          <w:sz w:val="28"/>
          <w:szCs w:val="28"/>
          <w:shd w:val="clear" w:color="auto" w:fill="FFFFFF"/>
          <w:lang w:val="uk-UA"/>
        </w:rPr>
        <w:t xml:space="preserve">споживачів  щодо зазначеної тематики на користь споживачів вирішені питання, порушені у                               136 зверненнях, на користь операторів систем розподілу – у 4 зверненнях, на користь юридичних і фізичних осіб-підприємців – у 18 зверненнях. Також надано роз’яснення по 98 зверненнях. </w:t>
      </w:r>
    </w:p>
    <w:p>
      <w:pPr>
        <w:shd w:val="clear" w:color="auto" w:fill="FFFFFF"/>
        <w:spacing w:after="0" w:line="208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Міненерго на відповідні запити операторів систем розподілу та споживачів електричної енергії надає необхідні роз'яснення щодо норм регуляторного акта.</w:t>
      </w:r>
    </w:p>
    <w:p>
      <w:pPr>
        <w:shd w:val="clear" w:color="auto" w:fill="FFFFFF"/>
        <w:spacing w:after="0" w:line="192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08" w:lineRule="atLeast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9. Оцінка результатів реалізації регуляторного акта та ступеня досягнення визначених цілей</w:t>
      </w:r>
    </w:p>
    <w:p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Результатом впровадження Наказу є підвищення надійності функціонування 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електроустановок споживачів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електричної енергії. </w:t>
      </w:r>
    </w:p>
    <w:p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Робота з відстеження результативності регуляторного акта підтвердила функціональність його прийняття.</w:t>
      </w:r>
    </w:p>
    <w:p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Міністр енергетики України                                           Герман ГАЛУЩЕНКО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66F64"/>
    <w:multiLevelType w:val="hybridMultilevel"/>
    <w:tmpl w:val="618A6F04"/>
    <w:lvl w:ilvl="0" w:tplc="6F06D964">
      <w:start w:val="1"/>
      <w:numFmt w:val="decimal"/>
      <w:lvlText w:val="%1)"/>
      <w:lvlJc w:val="left"/>
      <w:pPr>
        <w:ind w:left="192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AB90D-B078-4B5F-8DB4-D6FF0131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rvts9">
    <w:name w:val="rvts9"/>
    <w:basedOn w:val="a0"/>
  </w:style>
  <w:style w:type="paragraph" w:styleId="a4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Андрей Ковальчук</cp:lastModifiedBy>
  <cp:revision>12</cp:revision>
  <cp:lastPrinted>2024-11-27T09:51:00Z</cp:lastPrinted>
  <dcterms:created xsi:type="dcterms:W3CDTF">2024-11-26T07:16:00Z</dcterms:created>
  <dcterms:modified xsi:type="dcterms:W3CDTF">2024-11-27T11:19:00Z</dcterms:modified>
</cp:coreProperties>
</file>