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17.09.2025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0,10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0,11 мкЗв/год</w:t>
        <w:br w:type="textWrapping"/>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