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CEB8" w14:textId="77777777" w:rsidR="003B7278" w:rsidRDefault="008E556E">
      <w:pPr>
        <w:pStyle w:val="a3"/>
        <w:spacing w:before="62"/>
        <w:ind w:right="306"/>
        <w:jc w:val="right"/>
      </w:pPr>
      <w:r>
        <w:t>ПРОЄКТ</w:t>
      </w:r>
    </w:p>
    <w:p w14:paraId="141A356C" w14:textId="77777777" w:rsidR="003B7278" w:rsidRDefault="008E556E">
      <w:pPr>
        <w:pStyle w:val="a3"/>
        <w:spacing w:before="4"/>
        <w:rPr>
          <w:sz w:val="19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 wp14:anchorId="707F64D7" wp14:editId="624C7A06">
            <wp:simplePos x="0" y="0"/>
            <wp:positionH relativeFrom="page">
              <wp:posOffset>3764534</wp:posOffset>
            </wp:positionH>
            <wp:positionV relativeFrom="paragraph">
              <wp:posOffset>166133</wp:posOffset>
            </wp:positionV>
            <wp:extent cx="571500" cy="762000"/>
            <wp:effectExtent l="0" t="0" r="0" b="0"/>
            <wp:wrapTopAndBottom/>
            <wp:docPr id="1" name="image1.png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03C23" w14:textId="77777777" w:rsidR="003B7278" w:rsidRDefault="003B7278">
      <w:pPr>
        <w:pStyle w:val="a3"/>
        <w:rPr>
          <w:sz w:val="20"/>
        </w:rPr>
      </w:pPr>
    </w:p>
    <w:p w14:paraId="6E8FE4A0" w14:textId="77777777" w:rsidR="003B7278" w:rsidRDefault="003B7278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2517" w:type="dxa"/>
        <w:tblLayout w:type="fixed"/>
        <w:tblLook w:val="01E0" w:firstRow="1" w:lastRow="1" w:firstColumn="1" w:lastColumn="1" w:noHBand="0" w:noVBand="0"/>
      </w:tblPr>
      <w:tblGrid>
        <w:gridCol w:w="5325"/>
      </w:tblGrid>
      <w:tr w:rsidR="003B7278" w14:paraId="75E4D272" w14:textId="77777777">
        <w:trPr>
          <w:trHeight w:val="892"/>
        </w:trPr>
        <w:tc>
          <w:tcPr>
            <w:tcW w:w="5325" w:type="dxa"/>
          </w:tcPr>
          <w:p w14:paraId="2142CD21" w14:textId="77777777" w:rsidR="003B7278" w:rsidRDefault="008E556E">
            <w:pPr>
              <w:pStyle w:val="TableParagraph"/>
              <w:spacing w:line="354" w:lineRule="exact"/>
              <w:ind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КАБІНЕТ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МІНІСТРІВ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УКРАЇНИ</w:t>
            </w:r>
          </w:p>
          <w:p w14:paraId="1AC44056" w14:textId="77777777" w:rsidR="003B7278" w:rsidRDefault="008E556E">
            <w:pPr>
              <w:pStyle w:val="TableParagraph"/>
              <w:spacing w:line="240" w:lineRule="auto"/>
              <w:ind w:right="1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ПОСТАНОВА</w:t>
            </w:r>
          </w:p>
        </w:tc>
      </w:tr>
      <w:tr w:rsidR="003B7278" w14:paraId="49123182" w14:textId="77777777">
        <w:trPr>
          <w:trHeight w:val="665"/>
        </w:trPr>
        <w:tc>
          <w:tcPr>
            <w:tcW w:w="5325" w:type="dxa"/>
          </w:tcPr>
          <w:p w14:paraId="666A49E3" w14:textId="55994CBD" w:rsidR="003B7278" w:rsidRDefault="008E556E"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hanging="872"/>
              <w:rPr>
                <w:b/>
                <w:spacing w:val="-57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     202</w:t>
            </w:r>
            <w:r w:rsidR="004D3CB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р.     №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</w:p>
          <w:p w14:paraId="16A167A7" w14:textId="77777777" w:rsidR="003B7278" w:rsidRDefault="008E556E"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</w:t>
            </w:r>
          </w:p>
        </w:tc>
      </w:tr>
    </w:tbl>
    <w:p w14:paraId="5A0218C6" w14:textId="77777777" w:rsidR="003B7278" w:rsidRDefault="003B7278">
      <w:pPr>
        <w:pStyle w:val="a3"/>
        <w:spacing w:before="8"/>
        <w:rPr>
          <w:sz w:val="39"/>
        </w:rPr>
      </w:pPr>
    </w:p>
    <w:p w14:paraId="6CC222FC" w14:textId="46342DB2" w:rsidR="004D3CBB" w:rsidRDefault="004D3CBB" w:rsidP="004D3CBB">
      <w:pPr>
        <w:pStyle w:val="a4"/>
        <w:spacing w:line="237" w:lineRule="auto"/>
        <w:ind w:left="993" w:firstLine="0"/>
        <w:jc w:val="center"/>
      </w:pPr>
      <w:r>
        <w:t xml:space="preserve">Про затвердження </w:t>
      </w:r>
      <w:r w:rsidRPr="004D3CBB">
        <w:t>Порядк</w:t>
      </w:r>
      <w:r>
        <w:t>у</w:t>
      </w:r>
      <w:r w:rsidRPr="004D3CBB">
        <w:t xml:space="preserve"> визначення місячного обсягу постачання та формування страхового запасу</w:t>
      </w:r>
    </w:p>
    <w:p w14:paraId="1D7D47E3" w14:textId="44887D82" w:rsidR="003B7278" w:rsidRDefault="004D3CBB" w:rsidP="004D3CBB">
      <w:pPr>
        <w:pStyle w:val="a4"/>
        <w:spacing w:line="237" w:lineRule="auto"/>
        <w:ind w:left="993" w:firstLine="0"/>
        <w:jc w:val="center"/>
      </w:pPr>
      <w:r>
        <w:t>природного газу та р</w:t>
      </w:r>
      <w:r w:rsidRPr="004D3CBB">
        <w:t>озмір</w:t>
      </w:r>
      <w:r>
        <w:t>у</w:t>
      </w:r>
      <w:r w:rsidRPr="004D3CBB">
        <w:t xml:space="preserve"> страхового запасу </w:t>
      </w:r>
      <w:r>
        <w:br/>
      </w:r>
      <w:r w:rsidRPr="004D3CBB">
        <w:t>природного газу</w:t>
      </w:r>
      <w:r>
        <w:t xml:space="preserve"> на 2025 рік</w:t>
      </w:r>
    </w:p>
    <w:p w14:paraId="6A3B8EC7" w14:textId="77777777" w:rsidR="003B7278" w:rsidRDefault="003B7278">
      <w:pPr>
        <w:pStyle w:val="a3"/>
        <w:spacing w:before="2"/>
        <w:rPr>
          <w:b/>
          <w:sz w:val="39"/>
        </w:rPr>
      </w:pPr>
    </w:p>
    <w:p w14:paraId="09E154CB" w14:textId="77777777" w:rsidR="003B7278" w:rsidRDefault="008E556E">
      <w:pPr>
        <w:pStyle w:val="a3"/>
        <w:spacing w:line="237" w:lineRule="auto"/>
        <w:ind w:left="297" w:right="308" w:firstLine="708"/>
        <w:jc w:val="both"/>
        <w:rPr>
          <w:b/>
          <w:spacing w:val="26"/>
        </w:rPr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hyperlink r:id="rId6" w:anchor="n321">
        <w:r>
          <w:t>частини</w:t>
        </w:r>
        <w:r>
          <w:rPr>
            <w:spacing w:val="1"/>
          </w:rPr>
          <w:t xml:space="preserve"> </w:t>
        </w:r>
        <w:r>
          <w:t>шостої</w:t>
        </w:r>
      </w:hyperlink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«</w:t>
      </w:r>
      <w:r>
        <w:t>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природного газу»</w:t>
      </w:r>
      <w:r>
        <w:rPr>
          <w:spacing w:val="-1"/>
        </w:rPr>
        <w:t xml:space="preserve"> </w:t>
      </w:r>
      <w:r>
        <w:t>Кабінет Міністрів</w:t>
      </w:r>
      <w:r>
        <w:rPr>
          <w:spacing w:val="-3"/>
        </w:rPr>
        <w:t xml:space="preserve"> </w:t>
      </w:r>
      <w:r>
        <w:t>України</w:t>
      </w:r>
      <w:r>
        <w:rPr>
          <w:spacing w:val="4"/>
        </w:rPr>
        <w:t xml:space="preserve"> </w:t>
      </w:r>
      <w:r>
        <w:rPr>
          <w:b/>
          <w:spacing w:val="26"/>
        </w:rPr>
        <w:t>постановляє:</w:t>
      </w:r>
    </w:p>
    <w:p w14:paraId="247EA3D3" w14:textId="5605208B" w:rsidR="003B7278" w:rsidRPr="005A4B01" w:rsidRDefault="008E556E" w:rsidP="005A4B01"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 xml:space="preserve">1. Затвердити Порядок </w:t>
      </w:r>
      <w:r w:rsidR="005A4B01" w:rsidRPr="005A4B01">
        <w:rPr>
          <w:sz w:val="28"/>
        </w:rPr>
        <w:t>визначення місячного обсягу постачання та формування страхового запасу</w:t>
      </w:r>
      <w:r w:rsidR="005A4B01">
        <w:rPr>
          <w:sz w:val="28"/>
        </w:rPr>
        <w:t xml:space="preserve"> </w:t>
      </w:r>
      <w:r w:rsidR="005A4B01" w:rsidRPr="005A4B01">
        <w:rPr>
          <w:sz w:val="28"/>
        </w:rPr>
        <w:t>природного газу</w:t>
      </w:r>
      <w:r w:rsidRPr="005A4B01">
        <w:rPr>
          <w:sz w:val="28"/>
        </w:rPr>
        <w:t>, що додається.</w:t>
      </w:r>
    </w:p>
    <w:p w14:paraId="295F9259" w14:textId="77777777" w:rsidR="003B7278" w:rsidRDefault="008E556E"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2. Визнати такими, що втратили чинність, постанови Кабінету Міністрів України згідно з переліком, що додається.</w:t>
      </w:r>
    </w:p>
    <w:p w14:paraId="527E18C1" w14:textId="0C540EEC" w:rsidR="003B7278" w:rsidRDefault="008E556E"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3. Постачальники природного газу на 202</w:t>
      </w:r>
      <w:r w:rsidR="005A4B01">
        <w:rPr>
          <w:sz w:val="28"/>
        </w:rPr>
        <w:t>5</w:t>
      </w:r>
      <w:r>
        <w:rPr>
          <w:sz w:val="28"/>
        </w:rPr>
        <w:t xml:space="preserve"> рік зобов’язані створити страховий запас природного газу у розмірі 0</w:t>
      </w:r>
      <w:r w:rsidR="005A4B01">
        <w:rPr>
          <w:sz w:val="28"/>
        </w:rPr>
        <w:t>,5</w:t>
      </w:r>
      <w:r>
        <w:rPr>
          <w:sz w:val="28"/>
        </w:rPr>
        <w:t xml:space="preserve"> відсотків місячних обсягів поставки постачальником природного газу споживачам на наступний місяць та зберігати його у вітчизняних підземних сховищах природного газу.</w:t>
      </w:r>
    </w:p>
    <w:p w14:paraId="700A3A2F" w14:textId="26124E6F" w:rsidR="003B7278" w:rsidRDefault="008E556E"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 xml:space="preserve">4. Установити що, у разі настання на ринку природного газу кризової ситуації рівня надзвичайної ситуації, критерії якої визначені Національним планом дій, затвердженим наказом Міністерства енергетики та вугільної промисловості України від 2 листопада 2015 р. № 687, зареєстрованому в Міністерстві юстиції </w:t>
      </w:r>
      <w:r>
        <w:rPr>
          <w:sz w:val="28"/>
        </w:rPr>
        <w:br/>
        <w:t xml:space="preserve">23 листопада 2015 р. за № 1458/27903, </w:t>
      </w:r>
      <w:r w:rsidR="00146FA7" w:rsidRPr="00146FA7">
        <w:rPr>
          <w:sz w:val="28"/>
        </w:rPr>
        <w:t>постачальники природного газу зобов’язані створити страховий запас природного газу у розмірі 10 відсотків місячних обсягів поставки постачальником природного газу споживачам на наступний місяць</w:t>
      </w:r>
      <w:r w:rsidR="00146FA7">
        <w:rPr>
          <w:sz w:val="28"/>
        </w:rPr>
        <w:t xml:space="preserve">, а </w:t>
      </w:r>
      <w:r>
        <w:rPr>
          <w:sz w:val="28"/>
        </w:rPr>
        <w:t>використання постачальниками природного газу із власного страхового запасу для потреб своїх споживачів здійснюється відповідно до законодавства.</w:t>
      </w:r>
    </w:p>
    <w:p w14:paraId="403C0F11" w14:textId="77777777" w:rsidR="0058035C" w:rsidRDefault="0058035C"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</w:p>
    <w:p w14:paraId="32124A33" w14:textId="77777777" w:rsidR="003B7278" w:rsidRDefault="003B727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82"/>
        <w:gridCol w:w="4682"/>
      </w:tblGrid>
      <w:tr w:rsidR="003B7278" w14:paraId="7587E3B7" w14:textId="77777777">
        <w:trPr>
          <w:trHeight w:val="313"/>
        </w:trPr>
        <w:tc>
          <w:tcPr>
            <w:tcW w:w="5482" w:type="dxa"/>
          </w:tcPr>
          <w:p w14:paraId="02B54F36" w14:textId="77777777" w:rsidR="003B7278" w:rsidRDefault="008E556E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Прем’єр-міністр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4682" w:type="dxa"/>
          </w:tcPr>
          <w:p w14:paraId="00AC8571" w14:textId="0263BCE0" w:rsidR="003B7278" w:rsidRDefault="00360968" w:rsidP="00360968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Ю. СВИРИДЕНКО</w:t>
            </w:r>
          </w:p>
        </w:tc>
      </w:tr>
    </w:tbl>
    <w:p w14:paraId="7937E5FF" w14:textId="77777777" w:rsidR="003B7278" w:rsidRDefault="003B7278"/>
    <w:sectPr w:rsidR="003B7278">
      <w:type w:val="continuous"/>
      <w:pgSz w:w="11910" w:h="16840"/>
      <w:pgMar w:top="62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F3567"/>
    <w:multiLevelType w:val="hybridMultilevel"/>
    <w:tmpl w:val="FA74D6C6"/>
    <w:lvl w:ilvl="0" w:tplc="21E8471C">
      <w:start w:val="1"/>
      <w:numFmt w:val="decimal"/>
      <w:lvlText w:val="%1."/>
      <w:lvlJc w:val="left"/>
      <w:pPr>
        <w:ind w:left="297" w:hanging="3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76481D6A">
      <w:numFmt w:val="bullet"/>
      <w:lvlText w:val="•"/>
      <w:lvlJc w:val="left"/>
      <w:pPr>
        <w:ind w:left="1308" w:hanging="317"/>
      </w:pPr>
      <w:rPr>
        <w:rFonts w:hint="default"/>
        <w:lang w:val="uk-UA" w:eastAsia="en-US" w:bidi="ar-SA"/>
      </w:rPr>
    </w:lvl>
    <w:lvl w:ilvl="2" w:tplc="C4882248">
      <w:numFmt w:val="bullet"/>
      <w:lvlText w:val="•"/>
      <w:lvlJc w:val="left"/>
      <w:pPr>
        <w:ind w:left="2317" w:hanging="317"/>
      </w:pPr>
      <w:rPr>
        <w:rFonts w:hint="default"/>
        <w:lang w:val="uk-UA" w:eastAsia="en-US" w:bidi="ar-SA"/>
      </w:rPr>
    </w:lvl>
    <w:lvl w:ilvl="3" w:tplc="741611A2">
      <w:numFmt w:val="bullet"/>
      <w:lvlText w:val="•"/>
      <w:lvlJc w:val="left"/>
      <w:pPr>
        <w:ind w:left="3325" w:hanging="317"/>
      </w:pPr>
      <w:rPr>
        <w:rFonts w:hint="default"/>
        <w:lang w:val="uk-UA" w:eastAsia="en-US" w:bidi="ar-SA"/>
      </w:rPr>
    </w:lvl>
    <w:lvl w:ilvl="4" w:tplc="DDF8386E">
      <w:numFmt w:val="bullet"/>
      <w:lvlText w:val="•"/>
      <w:lvlJc w:val="left"/>
      <w:pPr>
        <w:ind w:left="4334" w:hanging="317"/>
      </w:pPr>
      <w:rPr>
        <w:rFonts w:hint="default"/>
        <w:lang w:val="uk-UA" w:eastAsia="en-US" w:bidi="ar-SA"/>
      </w:rPr>
    </w:lvl>
    <w:lvl w:ilvl="5" w:tplc="5D980672">
      <w:numFmt w:val="bullet"/>
      <w:lvlText w:val="•"/>
      <w:lvlJc w:val="left"/>
      <w:pPr>
        <w:ind w:left="5343" w:hanging="317"/>
      </w:pPr>
      <w:rPr>
        <w:rFonts w:hint="default"/>
        <w:lang w:val="uk-UA" w:eastAsia="en-US" w:bidi="ar-SA"/>
      </w:rPr>
    </w:lvl>
    <w:lvl w:ilvl="6" w:tplc="B9101142">
      <w:numFmt w:val="bullet"/>
      <w:lvlText w:val="•"/>
      <w:lvlJc w:val="left"/>
      <w:pPr>
        <w:ind w:left="6351" w:hanging="317"/>
      </w:pPr>
      <w:rPr>
        <w:rFonts w:hint="default"/>
        <w:lang w:val="uk-UA" w:eastAsia="en-US" w:bidi="ar-SA"/>
      </w:rPr>
    </w:lvl>
    <w:lvl w:ilvl="7" w:tplc="7A7080BA">
      <w:numFmt w:val="bullet"/>
      <w:lvlText w:val="•"/>
      <w:lvlJc w:val="left"/>
      <w:pPr>
        <w:ind w:left="7360" w:hanging="317"/>
      </w:pPr>
      <w:rPr>
        <w:rFonts w:hint="default"/>
        <w:lang w:val="uk-UA" w:eastAsia="en-US" w:bidi="ar-SA"/>
      </w:rPr>
    </w:lvl>
    <w:lvl w:ilvl="8" w:tplc="DFCAF0A6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1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 w16cid:durableId="484471310">
    <w:abstractNumId w:val="0"/>
  </w:num>
  <w:num w:numId="2" w16cid:durableId="64940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78"/>
    <w:rsid w:val="00146FA7"/>
    <w:rsid w:val="00306481"/>
    <w:rsid w:val="00325544"/>
    <w:rsid w:val="00360968"/>
    <w:rsid w:val="003B7278"/>
    <w:rsid w:val="003F3B7C"/>
    <w:rsid w:val="004D3CBB"/>
    <w:rsid w:val="0058035C"/>
    <w:rsid w:val="005A4B01"/>
    <w:rsid w:val="005D6426"/>
    <w:rsid w:val="006800EA"/>
    <w:rsid w:val="0072070A"/>
    <w:rsid w:val="00897699"/>
    <w:rsid w:val="008E556E"/>
    <w:rsid w:val="00AD444B"/>
    <w:rsid w:val="00C96A16"/>
    <w:rsid w:val="00E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A98F"/>
  <w15:docId w15:val="{AC988BFB-C918-44F7-B551-DDE40DB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86" w:right="183" w:hanging="3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2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83"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val="uk-UA"/>
    </w:rPr>
  </w:style>
  <w:style w:type="character" w:styleId="ae">
    <w:name w:val="Hyperlink"/>
    <w:basedOn w:val="a0"/>
    <w:uiPriority w:val="99"/>
    <w:unhideWhenUsed/>
    <w:rsid w:val="00146FA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9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Рамазанов Владислав</dc:creator>
  <cp:lastModifiedBy>Рамазанов В.А.</cp:lastModifiedBy>
  <cp:revision>5</cp:revision>
  <cp:lastPrinted>2025-01-31T07:26:00Z</cp:lastPrinted>
  <dcterms:created xsi:type="dcterms:W3CDTF">2025-01-31T07:26:00Z</dcterms:created>
  <dcterms:modified xsi:type="dcterms:W3CDTF">2025-08-20T12:34:00Z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  <property fmtid="{D5CDD505-2E9C-101B-9397-08002B2CF9AE}" pid="5" name="GrammarlyDocumentId">
    <vt:lpwstr>be15331bf3575a3d0b126eacecd4103fb63befeee5c3c03525c1d815410b0306</vt:lpwstr>
  </property>
</Properties>
</file>