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7AE3" w14:textId="34737B1A" w:rsidR="00843132" w:rsidRPr="00843132" w:rsidRDefault="00843132" w:rsidP="00C257AF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Додаток </w:t>
      </w:r>
      <w:r w:rsidR="00E03B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843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до </w:t>
      </w:r>
      <w:bookmarkStart w:id="0" w:name="_Hlk188633781"/>
      <w:r w:rsidRPr="00843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Антикорупційної програми Міністерства енергетики України на 2025 – 2027 роки</w:t>
      </w:r>
      <w:bookmarkEnd w:id="0"/>
    </w:p>
    <w:p w14:paraId="2E23D9B6" w14:textId="77777777" w:rsidR="0038506F" w:rsidRPr="003F0638" w:rsidRDefault="0038506F" w:rsidP="00C257AF">
      <w:pPr>
        <w:widowControl w:val="0"/>
        <w:autoSpaceDE w:val="0"/>
        <w:autoSpaceDN w:val="0"/>
        <w:spacing w:before="4" w:after="0" w:line="249" w:lineRule="auto"/>
        <w:ind w:left="142" w:right="284"/>
        <w:jc w:val="right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1C2778B" w14:textId="77777777" w:rsidR="008A7816" w:rsidRDefault="008A7816" w:rsidP="00E847DF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7A72919" w14:textId="040F59ED" w:rsidR="00C10B39" w:rsidRPr="003F0638" w:rsidRDefault="00843132" w:rsidP="00E847DF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ЗАХОДИ</w:t>
      </w:r>
    </w:p>
    <w:p w14:paraId="173AB6A8" w14:textId="48F48B79" w:rsidR="00B2365A" w:rsidRPr="003F0638" w:rsidRDefault="00821E87" w:rsidP="00E847DF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щодо виконання у 2025 році Міністерством енергетики України </w:t>
      </w:r>
      <w:r w:rsidR="00C10B39" w:rsidRPr="003F063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заходів </w:t>
      </w:r>
      <w:r w:rsidR="00B2365A" w:rsidRPr="003F063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</w:t>
      </w:r>
      <w:r w:rsidR="00C10B39" w:rsidRPr="003F063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пераційного плану заходів з реалізації Стратегії комунікацій у сфері запобігання та протидії корупції на період до 2025 року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, схваленої розпорядженням Кабінету Міністрів України від 2</w:t>
      </w:r>
      <w:r w:rsidRPr="00821E8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2 грудня 2023 р</w:t>
      </w:r>
      <w:r w:rsidR="00B048B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оку</w:t>
      </w:r>
      <w:r w:rsidRPr="00821E8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№</w:t>
      </w:r>
      <w:r w:rsidR="00B048B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 </w:t>
      </w:r>
      <w:r w:rsidRPr="00821E8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1203-р</w:t>
      </w:r>
      <w:r w:rsidR="00B048B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(далі – </w:t>
      </w:r>
      <w:r w:rsidR="00B048BC" w:rsidRPr="003F063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операційн</w:t>
      </w:r>
      <w:r w:rsidR="00B048B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ий</w:t>
      </w:r>
      <w:r w:rsidR="00B048BC" w:rsidRPr="003F063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план заходів з реалізації Стратегії комунікацій у сфері запобігання та протидії корупції на період до 2025 року</w:t>
      </w:r>
      <w:r w:rsidR="00B048B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5BDA0269" w14:textId="77777777" w:rsidR="003651E1" w:rsidRDefault="003651E1" w:rsidP="005622B8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6A8257EB" w14:textId="77777777" w:rsidR="00E00509" w:rsidRPr="003F0638" w:rsidRDefault="00E00509" w:rsidP="005622B8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5407F69D" w14:textId="77777777" w:rsidR="003B1036" w:rsidRPr="003F0638" w:rsidRDefault="003B1036" w:rsidP="005622B8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</w:p>
    <w:tbl>
      <w:tblPr>
        <w:tblStyle w:val="a7"/>
        <w:tblpPr w:leftFromText="180" w:rightFromText="180" w:vertAnchor="text" w:tblpX="1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7"/>
        <w:gridCol w:w="2649"/>
        <w:gridCol w:w="2402"/>
        <w:gridCol w:w="3915"/>
        <w:gridCol w:w="3138"/>
      </w:tblGrid>
      <w:tr w:rsidR="00B048BC" w:rsidRPr="003F0638" w14:paraId="5D6917AC" w14:textId="527BF641" w:rsidTr="00B048BC">
        <w:trPr>
          <w:tblHeader/>
        </w:trPr>
        <w:tc>
          <w:tcPr>
            <w:tcW w:w="2457" w:type="dxa"/>
            <w:vAlign w:val="center"/>
          </w:tcPr>
          <w:p w14:paraId="2E29BF8B" w14:textId="77777777" w:rsidR="00B048BC" w:rsidRDefault="00B048BC" w:rsidP="00FA25FE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Завдання</w:t>
            </w:r>
          </w:p>
          <w:p w14:paraId="3123879C" w14:textId="762248D6" w:rsidR="00810D34" w:rsidRPr="00810D34" w:rsidRDefault="00810D34" w:rsidP="00810D34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10D34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(згідно з операційним планом заходів з реалізації Стратегії комунікацій у сфері запобігання та протидії корупції на період до 2025 року)</w:t>
            </w:r>
          </w:p>
        </w:tc>
        <w:tc>
          <w:tcPr>
            <w:tcW w:w="2649" w:type="dxa"/>
            <w:vAlign w:val="center"/>
          </w:tcPr>
          <w:p w14:paraId="3B1648A9" w14:textId="46F83C3D" w:rsidR="00B048BC" w:rsidRPr="003F0638" w:rsidRDefault="00B048BC" w:rsidP="00FA25FE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Найменування заходу</w:t>
            </w:r>
          </w:p>
        </w:tc>
        <w:tc>
          <w:tcPr>
            <w:tcW w:w="2402" w:type="dxa"/>
            <w:vAlign w:val="center"/>
          </w:tcPr>
          <w:p w14:paraId="60EE3ED4" w14:textId="523D3DBE" w:rsidR="00B048BC" w:rsidRPr="003F0638" w:rsidRDefault="00B048BC" w:rsidP="00FA25FE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Індикатор виконання</w:t>
            </w:r>
          </w:p>
        </w:tc>
        <w:tc>
          <w:tcPr>
            <w:tcW w:w="3915" w:type="dxa"/>
            <w:vAlign w:val="center"/>
          </w:tcPr>
          <w:p w14:paraId="2EED3723" w14:textId="598E0C9E" w:rsidR="00B048BC" w:rsidRPr="003F0638" w:rsidRDefault="00B048BC" w:rsidP="00FA25FE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Виконавці</w:t>
            </w:r>
          </w:p>
        </w:tc>
        <w:tc>
          <w:tcPr>
            <w:tcW w:w="3138" w:type="dxa"/>
            <w:vAlign w:val="center"/>
          </w:tcPr>
          <w:p w14:paraId="78A30808" w14:textId="2BC4EA2E" w:rsidR="00B048BC" w:rsidRPr="00B048BC" w:rsidRDefault="00B048BC" w:rsidP="00B048BC">
            <w:pPr>
              <w:widowControl w:val="0"/>
              <w:autoSpaceDE w:val="0"/>
              <w:autoSpaceDN w:val="0"/>
              <w:spacing w:before="4" w:line="249" w:lineRule="auto"/>
              <w:ind w:right="28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Результати виконання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t>1</w:t>
            </w:r>
          </w:p>
        </w:tc>
      </w:tr>
      <w:tr w:rsidR="00B048BC" w:rsidRPr="003F0638" w14:paraId="79876274" w14:textId="217814BE" w:rsidTr="00B048BC">
        <w:tc>
          <w:tcPr>
            <w:tcW w:w="2457" w:type="dxa"/>
          </w:tcPr>
          <w:p w14:paraId="600AF5EC" w14:textId="7B9C8898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 Проведення регулярних медіа-заходів з антикорупційної тематики у державних органах, зокрема тих, що формують державну політику в найбільш уражених </w:t>
            </w:r>
            <w:r w:rsidRPr="003F06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корупцією сферах, за участю осіб, уповноважених на здійснення комунікації з антикорупційних питань</w:t>
            </w:r>
          </w:p>
        </w:tc>
        <w:tc>
          <w:tcPr>
            <w:tcW w:w="2649" w:type="dxa"/>
          </w:tcPr>
          <w:p w14:paraId="1F894BC2" w14:textId="0F530B00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проведення медіа-брифінгів з питань запобігання та виявлення корупції, зокрема в державних органах, що формують державну політику в найбільш уражених корупцією сферах, за участю осіб, </w:t>
            </w:r>
            <w:r w:rsidRPr="003F06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уповноважених на здійснення комунікацій з антикорупційних питань</w:t>
            </w:r>
          </w:p>
        </w:tc>
        <w:tc>
          <w:tcPr>
            <w:tcW w:w="2402" w:type="dxa"/>
          </w:tcPr>
          <w:p w14:paraId="712C0FF7" w14:textId="1885AB91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медіа-захід проведено</w:t>
            </w:r>
          </w:p>
        </w:tc>
        <w:tc>
          <w:tcPr>
            <w:tcW w:w="3915" w:type="dxa"/>
          </w:tcPr>
          <w:p w14:paraId="4409B6B6" w14:textId="77777777" w:rsidR="00B048BC" w:rsidRPr="00B048BC" w:rsidRDefault="00B048BC" w:rsidP="00B048BC">
            <w:pPr>
              <w:rPr>
                <w:rFonts w:ascii="Times New Roman" w:hAnsi="Times New Roman" w:cs="Times New Roman"/>
              </w:rPr>
            </w:pPr>
            <w:r w:rsidRPr="00B048BC">
              <w:rPr>
                <w:rFonts w:ascii="Times New Roman" w:hAnsi="Times New Roman" w:cs="Times New Roman"/>
              </w:rPr>
              <w:t>Сектор з питань запобігання та виявлення корупції;</w:t>
            </w:r>
          </w:p>
          <w:p w14:paraId="3679A48B" w14:textId="4C3F1993" w:rsidR="00B048BC" w:rsidRDefault="00B048BC" w:rsidP="00FD4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комунікацій</w:t>
            </w:r>
          </w:p>
          <w:p w14:paraId="667D6660" w14:textId="77777777" w:rsidR="00B048BC" w:rsidRPr="00FD4228" w:rsidRDefault="00B048BC" w:rsidP="00FD4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14:paraId="16C07DFD" w14:textId="77777777" w:rsidR="00B048BC" w:rsidRPr="003F0638" w:rsidRDefault="00B048BC" w:rsidP="00433DAF">
            <w:pPr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B048BC" w:rsidRPr="003F0638" w14:paraId="74D7C690" w14:textId="71AE18E4" w:rsidTr="00B048BC">
        <w:tc>
          <w:tcPr>
            <w:tcW w:w="2457" w:type="dxa"/>
          </w:tcPr>
          <w:p w14:paraId="17D072B5" w14:textId="7825657E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3. Сприяння залученню громадськості до визначення механізму вироблення рішень у сфері запобігання та протидії корупції</w:t>
            </w:r>
          </w:p>
        </w:tc>
        <w:tc>
          <w:tcPr>
            <w:tcW w:w="2649" w:type="dxa"/>
          </w:tcPr>
          <w:p w14:paraId="32CD3D88" w14:textId="6AB907E0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організація заходів (засідань за круглим столом, громадських обговорень, панельних дискусій, спільних нарад тощо) стосовно визначення корупційних ризиків, а також шляхів запобігання та протидії корупції в діяльності органу державної влади за участю керівників органу державної </w:t>
            </w: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влади,</w:t>
            </w:r>
            <w:r w:rsidRPr="003F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експертів, інститутів громадянського суспільства, громадської ради та із залученням у разі потреби представників медіа</w:t>
            </w:r>
          </w:p>
        </w:tc>
        <w:tc>
          <w:tcPr>
            <w:tcW w:w="2402" w:type="dxa"/>
          </w:tcPr>
          <w:p w14:paraId="06BE5198" w14:textId="11325AC0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проведено щонайменше один спільний захід, під час якого обговорено корупційні ризики в діяльності органу державної влади та шляхи їх усунення за участю заінтересованих сторін</w:t>
            </w:r>
          </w:p>
        </w:tc>
        <w:tc>
          <w:tcPr>
            <w:tcW w:w="3915" w:type="dxa"/>
          </w:tcPr>
          <w:p w14:paraId="1B5D6078" w14:textId="77777777" w:rsidR="00B048BC" w:rsidRPr="00B048BC" w:rsidRDefault="00B048BC" w:rsidP="00B048BC">
            <w:pPr>
              <w:rPr>
                <w:rFonts w:ascii="Times New Roman" w:hAnsi="Times New Roman" w:cs="Times New Roman"/>
              </w:rPr>
            </w:pPr>
            <w:r w:rsidRPr="00B048BC">
              <w:rPr>
                <w:rFonts w:ascii="Times New Roman" w:hAnsi="Times New Roman" w:cs="Times New Roman"/>
              </w:rPr>
              <w:t>Сектор з питань запобігання та виявлення корупції;</w:t>
            </w:r>
          </w:p>
          <w:p w14:paraId="684A9B6E" w14:textId="77777777" w:rsidR="00B048BC" w:rsidRDefault="00B048BC" w:rsidP="00B0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комунікацій</w:t>
            </w:r>
          </w:p>
          <w:p w14:paraId="4E4CD6C3" w14:textId="4A3C9769" w:rsidR="00B048BC" w:rsidRPr="003F0638" w:rsidRDefault="00B048BC" w:rsidP="007C0FC6">
            <w:pPr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138" w:type="dxa"/>
          </w:tcPr>
          <w:p w14:paraId="3EFDD5B2" w14:textId="77777777" w:rsidR="00B048BC" w:rsidRPr="003F0638" w:rsidRDefault="00B048BC" w:rsidP="007C0FC6">
            <w:pPr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B048BC" w:rsidRPr="003F0638" w14:paraId="62107FF6" w14:textId="2AFBD2AD" w:rsidTr="00B048BC">
        <w:tc>
          <w:tcPr>
            <w:tcW w:w="2457" w:type="dxa"/>
          </w:tcPr>
          <w:p w14:paraId="7222A784" w14:textId="7CA197FF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4. Розміщення публікацій/ інформації про запобігання, виявлення та протидію корупції на офіційних веб-сайтах центральних органів виконавчої влади, інших заінтересованих державних органів</w:t>
            </w:r>
          </w:p>
        </w:tc>
        <w:tc>
          <w:tcPr>
            <w:tcW w:w="2649" w:type="dxa"/>
          </w:tcPr>
          <w:p w14:paraId="3681655F" w14:textId="6B7EE444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систематичне оновлення на офіційних веб-сайтах центральних органів виконавчої влади, інших заінтересованих державних органів інформації окремого розділу з антикорупційної тематики, поширення інформації за результатами </w:t>
            </w: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антикорупційної роботи у таких соціальних мережах, як Facebook, YouTube, платформа X тощо</w:t>
            </w:r>
          </w:p>
        </w:tc>
        <w:tc>
          <w:tcPr>
            <w:tcW w:w="2402" w:type="dxa"/>
          </w:tcPr>
          <w:p w14:paraId="1D1AAF14" w14:textId="7763F3AD" w:rsidR="00B048BC" w:rsidRPr="003F0638" w:rsidRDefault="00B048BC" w:rsidP="00FA25FE">
            <w:pPr>
              <w:widowControl w:val="0"/>
              <w:autoSpaceDE w:val="0"/>
              <w:autoSpaceDN w:val="0"/>
              <w:ind w:right="284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в окремому розділі на офіційних веб-сайтах центральних органів виконавчої влади та інших заінтересованих державних органів розміщено актуальну інформацію з антикорупційної </w:t>
            </w:r>
            <w:r w:rsidRPr="003F063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тематики; інформацію про антикорупційну діяльність зазначених органів поширено в соціальних мережах</w:t>
            </w:r>
          </w:p>
        </w:tc>
        <w:tc>
          <w:tcPr>
            <w:tcW w:w="3915" w:type="dxa"/>
          </w:tcPr>
          <w:p w14:paraId="1139C1E0" w14:textId="77777777" w:rsidR="00B048BC" w:rsidRPr="00B048BC" w:rsidRDefault="00B048BC" w:rsidP="00B048BC">
            <w:pPr>
              <w:rPr>
                <w:rFonts w:ascii="Times New Roman" w:hAnsi="Times New Roman" w:cs="Times New Roman"/>
              </w:rPr>
            </w:pPr>
            <w:r w:rsidRPr="00B048BC">
              <w:rPr>
                <w:rFonts w:ascii="Times New Roman" w:hAnsi="Times New Roman" w:cs="Times New Roman"/>
              </w:rPr>
              <w:lastRenderedPageBreak/>
              <w:t>Сектор з питань запобігання та виявлення корупції;</w:t>
            </w:r>
          </w:p>
          <w:p w14:paraId="6FCF6BF7" w14:textId="77777777" w:rsidR="00B048BC" w:rsidRDefault="00B048BC" w:rsidP="00B0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комунікацій</w:t>
            </w:r>
          </w:p>
          <w:p w14:paraId="23BB4345" w14:textId="231317F3" w:rsidR="00B048BC" w:rsidRPr="003F0638" w:rsidRDefault="00B048BC" w:rsidP="009C15F1">
            <w:pPr>
              <w:widowControl w:val="0"/>
              <w:autoSpaceDE w:val="0"/>
              <w:autoSpaceDN w:val="0"/>
              <w:ind w:right="284"/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138" w:type="dxa"/>
          </w:tcPr>
          <w:p w14:paraId="19CDF57E" w14:textId="77777777" w:rsidR="00B048BC" w:rsidRPr="003F0638" w:rsidRDefault="00B048BC" w:rsidP="009C15F1">
            <w:pPr>
              <w:widowControl w:val="0"/>
              <w:autoSpaceDE w:val="0"/>
              <w:autoSpaceDN w:val="0"/>
              <w:ind w:right="284"/>
              <w:jc w:val="both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545FCD62" w14:textId="77777777" w:rsidR="0096553C" w:rsidRDefault="0096553C" w:rsidP="0096553C">
      <w:pPr>
        <w:widowControl w:val="0"/>
        <w:autoSpaceDE w:val="0"/>
        <w:autoSpaceDN w:val="0"/>
        <w:spacing w:before="4" w:after="0" w:line="249" w:lineRule="auto"/>
        <w:ind w:left="142" w:right="284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506F1578" w14:textId="77777777" w:rsidR="00810D34" w:rsidRDefault="00810D34" w:rsidP="0096553C">
      <w:pPr>
        <w:widowControl w:val="0"/>
        <w:autoSpaceDE w:val="0"/>
        <w:autoSpaceDN w:val="0"/>
        <w:spacing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50977023" w14:textId="77777777" w:rsidR="00810D34" w:rsidRDefault="00810D34" w:rsidP="0096553C">
      <w:pPr>
        <w:widowControl w:val="0"/>
        <w:autoSpaceDE w:val="0"/>
        <w:autoSpaceDN w:val="0"/>
        <w:spacing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5CB5DCDC" w14:textId="77777777" w:rsidR="00810D34" w:rsidRDefault="00810D34" w:rsidP="0096553C">
      <w:pPr>
        <w:widowControl w:val="0"/>
        <w:autoSpaceDE w:val="0"/>
        <w:autoSpaceDN w:val="0"/>
        <w:spacing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5A1CBC74" w14:textId="77777777" w:rsidR="0096553C" w:rsidRDefault="0096553C" w:rsidP="0096553C">
      <w:pPr>
        <w:widowControl w:val="0"/>
        <w:autoSpaceDE w:val="0"/>
        <w:autoSpaceDN w:val="0"/>
        <w:spacing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>Примітк</w:t>
      </w:r>
      <w:r>
        <w:rPr>
          <w:rFonts w:ascii="Times New Roman" w:eastAsia="Cambria" w:hAnsi="Times New Roman" w:cs="Times New Roman"/>
          <w:sz w:val="16"/>
          <w:szCs w:val="16"/>
        </w:rPr>
        <w:t>а</w:t>
      </w:r>
      <w:r w:rsidRPr="00D85AA5">
        <w:rPr>
          <w:rFonts w:ascii="Times New Roman" w:eastAsia="Cambria" w:hAnsi="Times New Roman" w:cs="Times New Roman"/>
          <w:sz w:val="16"/>
          <w:szCs w:val="16"/>
        </w:rPr>
        <w:t>:</w:t>
      </w:r>
    </w:p>
    <w:p w14:paraId="3176D71E" w14:textId="2636E285" w:rsidR="00FD0184" w:rsidRPr="00D85AA5" w:rsidRDefault="0096553C" w:rsidP="00CD1665">
      <w:pPr>
        <w:widowControl w:val="0"/>
        <w:autoSpaceDE w:val="0"/>
        <w:autoSpaceDN w:val="0"/>
        <w:spacing w:before="120" w:after="0" w:line="240" w:lineRule="auto"/>
        <w:ind w:left="142" w:right="-171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>
        <w:rPr>
          <w:rFonts w:ascii="Times New Roman" w:eastAsia="Cambria" w:hAnsi="Times New Roman" w:cs="Times New Roman"/>
          <w:sz w:val="16"/>
          <w:szCs w:val="16"/>
          <w:vertAlign w:val="superscript"/>
        </w:rPr>
        <w:t>1</w:t>
      </w:r>
      <w:r w:rsidR="00821E87" w:rsidRPr="00D85AA5">
        <w:rPr>
          <w:rFonts w:ascii="Times New Roman" w:eastAsia="Cambria" w:hAnsi="Times New Roman" w:cs="Times New Roman"/>
          <w:sz w:val="16"/>
          <w:szCs w:val="16"/>
          <w:vertAlign w:val="superscript"/>
        </w:rPr>
        <w:t> </w:t>
      </w:r>
      <w:r w:rsidR="00821E87">
        <w:rPr>
          <w:rFonts w:ascii="Times New Roman" w:eastAsia="Cambria" w:hAnsi="Times New Roman" w:cs="Times New Roman"/>
          <w:sz w:val="16"/>
          <w:szCs w:val="16"/>
        </w:rPr>
        <w:t>П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>еріодичн</w:t>
      </w:r>
      <w:r w:rsidR="00821E87">
        <w:rPr>
          <w:rFonts w:ascii="Times New Roman" w:eastAsia="Cambria" w:hAnsi="Times New Roman" w:cs="Times New Roman"/>
          <w:sz w:val="16"/>
          <w:szCs w:val="16"/>
        </w:rPr>
        <w:t>ість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821E87">
        <w:rPr>
          <w:rFonts w:ascii="Times New Roman" w:eastAsia="Cambria" w:hAnsi="Times New Roman" w:cs="Times New Roman"/>
          <w:sz w:val="16"/>
          <w:szCs w:val="16"/>
        </w:rPr>
        <w:t>підготовки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виконавцями </w:t>
      </w:r>
      <w:r w:rsidR="00821E87">
        <w:rPr>
          <w:rFonts w:ascii="Times New Roman" w:eastAsia="Cambria" w:hAnsi="Times New Roman" w:cs="Times New Roman"/>
          <w:sz w:val="16"/>
          <w:szCs w:val="16"/>
        </w:rPr>
        <w:t>і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>нформаці</w:t>
      </w:r>
      <w:r w:rsidR="00821E87">
        <w:rPr>
          <w:rFonts w:ascii="Times New Roman" w:eastAsia="Cambria" w:hAnsi="Times New Roman" w:cs="Times New Roman"/>
          <w:sz w:val="16"/>
          <w:szCs w:val="16"/>
        </w:rPr>
        <w:t>ї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про здійснення заходів щодо </w:t>
      </w:r>
      <w:r w:rsidR="00821EF9">
        <w:rPr>
          <w:rFonts w:ascii="Times New Roman" w:eastAsia="Cambria" w:hAnsi="Times New Roman" w:cs="Times New Roman"/>
          <w:sz w:val="16"/>
          <w:szCs w:val="16"/>
        </w:rPr>
        <w:t xml:space="preserve">виконання </w:t>
      </w:r>
      <w:r w:rsidR="00821EF9" w:rsidRPr="00821EF9">
        <w:rPr>
          <w:rFonts w:ascii="Times New Roman" w:hAnsi="Times New Roman" w:cs="Times New Roman"/>
          <w:kern w:val="0"/>
          <w:sz w:val="16"/>
          <w:szCs w:val="16"/>
          <w14:ligatures w14:val="none"/>
        </w:rPr>
        <w:t>операційн</w:t>
      </w:r>
      <w:r w:rsidR="00821EF9">
        <w:rPr>
          <w:rFonts w:ascii="Times New Roman" w:hAnsi="Times New Roman" w:cs="Times New Roman"/>
          <w:kern w:val="0"/>
          <w:sz w:val="16"/>
          <w:szCs w:val="16"/>
          <w14:ligatures w14:val="none"/>
        </w:rPr>
        <w:t>ого</w:t>
      </w:r>
      <w:r w:rsidR="00821EF9" w:rsidRPr="00821EF9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план</w:t>
      </w:r>
      <w:r w:rsidR="00821EF9">
        <w:rPr>
          <w:rFonts w:ascii="Times New Roman" w:hAnsi="Times New Roman" w:cs="Times New Roman"/>
          <w:kern w:val="0"/>
          <w:sz w:val="16"/>
          <w:szCs w:val="16"/>
          <w14:ligatures w14:val="none"/>
        </w:rPr>
        <w:t>у</w:t>
      </w:r>
      <w:r w:rsidR="00821EF9" w:rsidRPr="00821EF9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заходів з реалізації Стратегії комунікацій у сфері запобігання та протидії корупції на період до 2025 року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821E87">
        <w:rPr>
          <w:rFonts w:ascii="Times New Roman" w:eastAsia="Cambria" w:hAnsi="Times New Roman" w:cs="Times New Roman"/>
          <w:sz w:val="16"/>
          <w:szCs w:val="16"/>
        </w:rPr>
        <w:t xml:space="preserve">визначається 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строк</w:t>
      </w:r>
      <w:r w:rsidR="00821E87">
        <w:rPr>
          <w:rFonts w:ascii="Times New Roman" w:eastAsia="Cambria" w:hAnsi="Times New Roman" w:cs="Times New Roman"/>
          <w:sz w:val="16"/>
          <w:szCs w:val="16"/>
        </w:rPr>
        <w:t>ами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821E87">
        <w:rPr>
          <w:rFonts w:ascii="Times New Roman" w:eastAsia="Cambria" w:hAnsi="Times New Roman" w:cs="Times New Roman"/>
          <w:sz w:val="16"/>
          <w:szCs w:val="16"/>
        </w:rPr>
        <w:t>встановленими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821EF9">
        <w:rPr>
          <w:rFonts w:ascii="Times New Roman" w:eastAsia="Cambria" w:hAnsi="Times New Roman" w:cs="Times New Roman"/>
          <w:sz w:val="16"/>
          <w:szCs w:val="16"/>
        </w:rPr>
        <w:t>абзацом третім п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ункту 3 </w:t>
      </w:r>
      <w:r w:rsidR="00821EF9">
        <w:rPr>
          <w:rFonts w:ascii="Times New Roman" w:eastAsia="Cambria" w:hAnsi="Times New Roman" w:cs="Times New Roman"/>
          <w:sz w:val="16"/>
          <w:szCs w:val="16"/>
        </w:rPr>
        <w:t>розпорядження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Кабінету Міністрів України</w:t>
      </w:r>
      <w:r w:rsidR="00055B8A" w:rsidRPr="00055B8A">
        <w:t xml:space="preserve"> </w:t>
      </w:r>
      <w:r w:rsidR="00055B8A" w:rsidRPr="00055B8A">
        <w:rPr>
          <w:rFonts w:ascii="Times New Roman" w:eastAsia="Cambria" w:hAnsi="Times New Roman" w:cs="Times New Roman"/>
          <w:sz w:val="16"/>
          <w:szCs w:val="16"/>
        </w:rPr>
        <w:t>від 22 грудня 2023 року № 1203-р</w:t>
      </w:r>
      <w:r w:rsidR="00821E87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055B8A" w:rsidRPr="00D85AA5">
        <w:rPr>
          <w:rFonts w:ascii="Times New Roman" w:eastAsia="Cambria" w:hAnsi="Times New Roman" w:cs="Times New Roman"/>
          <w:sz w:val="16"/>
          <w:szCs w:val="16"/>
        </w:rPr>
        <w:t>«</w:t>
      </w:r>
      <w:r w:rsidRPr="0096553C">
        <w:rPr>
          <w:rFonts w:ascii="Times New Roman" w:eastAsia="Cambria" w:hAnsi="Times New Roman" w:cs="Times New Roman"/>
          <w:sz w:val="16"/>
          <w:szCs w:val="16"/>
        </w:rPr>
        <w:t>Про схвалення Стратегії комунікацій у сфері запобігання</w:t>
      </w:r>
      <w:r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Pr="0096553C">
        <w:rPr>
          <w:rFonts w:ascii="Times New Roman" w:eastAsia="Cambria" w:hAnsi="Times New Roman" w:cs="Times New Roman"/>
          <w:sz w:val="16"/>
          <w:szCs w:val="16"/>
        </w:rPr>
        <w:t>та протидії корупції на період до 2025 року і затвердження</w:t>
      </w:r>
      <w:r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Pr="0096553C">
        <w:rPr>
          <w:rFonts w:ascii="Times New Roman" w:eastAsia="Cambria" w:hAnsi="Times New Roman" w:cs="Times New Roman"/>
          <w:sz w:val="16"/>
          <w:szCs w:val="16"/>
        </w:rPr>
        <w:t>операційного плану заходів з її реалізації</w:t>
      </w:r>
      <w:r w:rsidR="00055B8A" w:rsidRPr="00D85AA5">
        <w:rPr>
          <w:rFonts w:ascii="Times New Roman" w:eastAsia="Cambria" w:hAnsi="Times New Roman" w:cs="Times New Roman"/>
          <w:sz w:val="16"/>
          <w:szCs w:val="16"/>
        </w:rPr>
        <w:t>»</w:t>
      </w:r>
      <w:r w:rsidR="00FD0184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FD0184" w:rsidRPr="00FD0184">
        <w:rPr>
          <w:rFonts w:ascii="Times New Roman" w:eastAsia="Cambria" w:hAnsi="Times New Roman" w:cs="Times New Roman"/>
          <w:bCs/>
          <w:sz w:val="16"/>
          <w:szCs w:val="16"/>
        </w:rPr>
        <w:t>для подання її Національному агентству з питань запобігання корупції щокварталу до 15 числа наступного місяця</w:t>
      </w:r>
      <w:r w:rsidR="00FD0184">
        <w:rPr>
          <w:rFonts w:ascii="Times New Roman" w:eastAsia="Cambria" w:hAnsi="Times New Roman" w:cs="Times New Roman"/>
          <w:b/>
          <w:bCs/>
          <w:sz w:val="16"/>
          <w:szCs w:val="16"/>
        </w:rPr>
        <w:t xml:space="preserve">, </w:t>
      </w:r>
      <w:r w:rsidR="00FD0184" w:rsidRPr="00D85AA5">
        <w:rPr>
          <w:rFonts w:ascii="Times New Roman" w:eastAsia="Cambria" w:hAnsi="Times New Roman" w:cs="Times New Roman"/>
          <w:sz w:val="16"/>
          <w:szCs w:val="16"/>
        </w:rPr>
        <w:t>а також строк</w:t>
      </w:r>
      <w:r w:rsidR="00FD0184">
        <w:rPr>
          <w:rFonts w:ascii="Times New Roman" w:eastAsia="Cambria" w:hAnsi="Times New Roman" w:cs="Times New Roman"/>
          <w:sz w:val="16"/>
          <w:szCs w:val="16"/>
        </w:rPr>
        <w:t>ами</w:t>
      </w:r>
      <w:r w:rsidR="00FD0184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FD0184">
        <w:rPr>
          <w:rFonts w:ascii="Times New Roman" w:eastAsia="Cambria" w:hAnsi="Times New Roman" w:cs="Times New Roman"/>
          <w:sz w:val="16"/>
          <w:szCs w:val="16"/>
        </w:rPr>
        <w:t>встановленими</w:t>
      </w:r>
      <w:r w:rsidR="00FD0184" w:rsidRPr="00D85AA5">
        <w:rPr>
          <w:rFonts w:ascii="Times New Roman" w:eastAsia="Cambria" w:hAnsi="Times New Roman" w:cs="Times New Roman"/>
          <w:sz w:val="16"/>
          <w:szCs w:val="16"/>
        </w:rPr>
        <w:t xml:space="preserve"> для моніторингу виконання заходів</w:t>
      </w:r>
      <w:r w:rsidR="00FD0184" w:rsidRPr="00D85AA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FD0184" w:rsidRPr="00D85AA5">
        <w:rPr>
          <w:rFonts w:ascii="Times New Roman" w:eastAsia="Cambria" w:hAnsi="Times New Roman" w:cs="Times New Roman"/>
          <w:sz w:val="16"/>
          <w:szCs w:val="16"/>
        </w:rPr>
        <w:t xml:space="preserve">Антикорупційної програми Міністерства енергетики України на 2025 – 2027 роки. </w:t>
      </w:r>
    </w:p>
    <w:p w14:paraId="37276F8B" w14:textId="77777777" w:rsidR="00FD0184" w:rsidRPr="003F0638" w:rsidRDefault="00FD0184" w:rsidP="00CD1665">
      <w:pPr>
        <w:widowControl w:val="0"/>
        <w:autoSpaceDE w:val="0"/>
        <w:autoSpaceDN w:val="0"/>
        <w:spacing w:before="4" w:after="0" w:line="249" w:lineRule="auto"/>
        <w:ind w:left="142" w:right="-171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EB317BE" w14:textId="54AC1EB6" w:rsidR="0096553C" w:rsidRDefault="0096553C" w:rsidP="00FD0184">
      <w:pPr>
        <w:widowControl w:val="0"/>
        <w:autoSpaceDE w:val="0"/>
        <w:autoSpaceDN w:val="0"/>
        <w:spacing w:before="120"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12713CF3" w14:textId="77777777" w:rsidR="0096553C" w:rsidRDefault="0096553C" w:rsidP="0096553C">
      <w:pPr>
        <w:widowControl w:val="0"/>
        <w:autoSpaceDE w:val="0"/>
        <w:autoSpaceDN w:val="0"/>
        <w:spacing w:before="120" w:after="0" w:line="240" w:lineRule="auto"/>
        <w:ind w:left="142" w:right="284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11676646" w14:textId="453C9401" w:rsidR="00CF3CB9" w:rsidRPr="003F0638" w:rsidRDefault="00CF3CB9" w:rsidP="003B1036">
      <w:pPr>
        <w:widowControl w:val="0"/>
        <w:autoSpaceDE w:val="0"/>
        <w:autoSpaceDN w:val="0"/>
        <w:spacing w:before="4" w:after="0" w:line="249" w:lineRule="auto"/>
        <w:ind w:left="142" w:right="284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sectPr w:rsidR="00CF3CB9" w:rsidRPr="003F0638" w:rsidSect="00A1238B">
      <w:headerReference w:type="default" r:id="rId7"/>
      <w:pgSz w:w="16838" w:h="11906" w:orient="landscape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CA33" w14:textId="77777777" w:rsidR="00234138" w:rsidRDefault="00234138" w:rsidP="008036C7">
      <w:pPr>
        <w:spacing w:after="0" w:line="240" w:lineRule="auto"/>
      </w:pPr>
      <w:r>
        <w:separator/>
      </w:r>
    </w:p>
  </w:endnote>
  <w:endnote w:type="continuationSeparator" w:id="0">
    <w:p w14:paraId="66BC5842" w14:textId="77777777" w:rsidR="00234138" w:rsidRDefault="00234138" w:rsidP="0080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CEB4" w14:textId="77777777" w:rsidR="00234138" w:rsidRDefault="00234138" w:rsidP="008036C7">
      <w:pPr>
        <w:spacing w:after="0" w:line="240" w:lineRule="auto"/>
      </w:pPr>
      <w:r>
        <w:separator/>
      </w:r>
    </w:p>
  </w:footnote>
  <w:footnote w:type="continuationSeparator" w:id="0">
    <w:p w14:paraId="184B718B" w14:textId="77777777" w:rsidR="00234138" w:rsidRDefault="00234138" w:rsidP="0080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6995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CAE56E" w14:textId="7C37DEFF" w:rsidR="008036C7" w:rsidRPr="0016176A" w:rsidRDefault="008036C7">
        <w:pPr>
          <w:pStyle w:val="a3"/>
          <w:jc w:val="center"/>
          <w:rPr>
            <w:rFonts w:ascii="Times New Roman" w:hAnsi="Times New Roman" w:cs="Times New Roman"/>
          </w:rPr>
        </w:pPr>
        <w:r w:rsidRPr="0016176A">
          <w:rPr>
            <w:rFonts w:ascii="Times New Roman" w:hAnsi="Times New Roman" w:cs="Times New Roman"/>
          </w:rPr>
          <w:fldChar w:fldCharType="begin"/>
        </w:r>
        <w:r w:rsidRPr="0016176A">
          <w:rPr>
            <w:rFonts w:ascii="Times New Roman" w:hAnsi="Times New Roman" w:cs="Times New Roman"/>
          </w:rPr>
          <w:instrText>PAGE   \* MERGEFORMAT</w:instrText>
        </w:r>
        <w:r w:rsidRPr="0016176A">
          <w:rPr>
            <w:rFonts w:ascii="Times New Roman" w:hAnsi="Times New Roman" w:cs="Times New Roman"/>
          </w:rPr>
          <w:fldChar w:fldCharType="separate"/>
        </w:r>
        <w:r w:rsidR="00CD1665">
          <w:rPr>
            <w:rFonts w:ascii="Times New Roman" w:hAnsi="Times New Roman" w:cs="Times New Roman"/>
            <w:noProof/>
          </w:rPr>
          <w:t>3</w:t>
        </w:r>
        <w:r w:rsidRPr="0016176A">
          <w:rPr>
            <w:rFonts w:ascii="Times New Roman" w:hAnsi="Times New Roman" w:cs="Times New Roman"/>
          </w:rPr>
          <w:fldChar w:fldCharType="end"/>
        </w:r>
      </w:p>
    </w:sdtContent>
  </w:sdt>
  <w:p w14:paraId="61731943" w14:textId="77777777" w:rsidR="008036C7" w:rsidRDefault="00803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61"/>
    <w:rsid w:val="0001559A"/>
    <w:rsid w:val="00055B8A"/>
    <w:rsid w:val="000661C4"/>
    <w:rsid w:val="00095E92"/>
    <w:rsid w:val="000D358F"/>
    <w:rsid w:val="00114A25"/>
    <w:rsid w:val="00114F32"/>
    <w:rsid w:val="00135130"/>
    <w:rsid w:val="0016176A"/>
    <w:rsid w:val="00172DB2"/>
    <w:rsid w:val="00177B97"/>
    <w:rsid w:val="00221002"/>
    <w:rsid w:val="00221226"/>
    <w:rsid w:val="00233F01"/>
    <w:rsid w:val="00234138"/>
    <w:rsid w:val="00240122"/>
    <w:rsid w:val="00243D40"/>
    <w:rsid w:val="00245691"/>
    <w:rsid w:val="00264371"/>
    <w:rsid w:val="002767BB"/>
    <w:rsid w:val="00283452"/>
    <w:rsid w:val="002B2215"/>
    <w:rsid w:val="002D011E"/>
    <w:rsid w:val="002E1563"/>
    <w:rsid w:val="002F25FF"/>
    <w:rsid w:val="002F26E3"/>
    <w:rsid w:val="003413F6"/>
    <w:rsid w:val="003466D5"/>
    <w:rsid w:val="00346C0D"/>
    <w:rsid w:val="0035166E"/>
    <w:rsid w:val="00363A54"/>
    <w:rsid w:val="003651E1"/>
    <w:rsid w:val="00382BE8"/>
    <w:rsid w:val="0038506F"/>
    <w:rsid w:val="00392C77"/>
    <w:rsid w:val="003A0D9D"/>
    <w:rsid w:val="003B1036"/>
    <w:rsid w:val="003D332C"/>
    <w:rsid w:val="003E4EC5"/>
    <w:rsid w:val="003F0638"/>
    <w:rsid w:val="003F0A03"/>
    <w:rsid w:val="003F54E6"/>
    <w:rsid w:val="0040349E"/>
    <w:rsid w:val="004140B8"/>
    <w:rsid w:val="00415E16"/>
    <w:rsid w:val="00433DAF"/>
    <w:rsid w:val="00437894"/>
    <w:rsid w:val="00460FED"/>
    <w:rsid w:val="00463BD2"/>
    <w:rsid w:val="004A0C4D"/>
    <w:rsid w:val="004A56AC"/>
    <w:rsid w:val="004B65E1"/>
    <w:rsid w:val="004C51C3"/>
    <w:rsid w:val="004C6C0A"/>
    <w:rsid w:val="004D1F1D"/>
    <w:rsid w:val="004F5A9E"/>
    <w:rsid w:val="004F5BB3"/>
    <w:rsid w:val="00504A33"/>
    <w:rsid w:val="00530768"/>
    <w:rsid w:val="00535410"/>
    <w:rsid w:val="0054414C"/>
    <w:rsid w:val="00546B37"/>
    <w:rsid w:val="00551AE3"/>
    <w:rsid w:val="005622B8"/>
    <w:rsid w:val="00581EA5"/>
    <w:rsid w:val="005862DD"/>
    <w:rsid w:val="005A25BA"/>
    <w:rsid w:val="005B7A74"/>
    <w:rsid w:val="005D009B"/>
    <w:rsid w:val="005F2B2A"/>
    <w:rsid w:val="005F59D1"/>
    <w:rsid w:val="00611C13"/>
    <w:rsid w:val="0061626D"/>
    <w:rsid w:val="00634EC4"/>
    <w:rsid w:val="00637F39"/>
    <w:rsid w:val="00651BF6"/>
    <w:rsid w:val="00672929"/>
    <w:rsid w:val="006807BF"/>
    <w:rsid w:val="00695455"/>
    <w:rsid w:val="006967D6"/>
    <w:rsid w:val="006A08D3"/>
    <w:rsid w:val="006A0C66"/>
    <w:rsid w:val="006A61C3"/>
    <w:rsid w:val="006B12D4"/>
    <w:rsid w:val="006C0A33"/>
    <w:rsid w:val="006E0FAF"/>
    <w:rsid w:val="006E1512"/>
    <w:rsid w:val="006E18E0"/>
    <w:rsid w:val="006E7D44"/>
    <w:rsid w:val="006F011F"/>
    <w:rsid w:val="006F06F0"/>
    <w:rsid w:val="00712587"/>
    <w:rsid w:val="007177BC"/>
    <w:rsid w:val="00745060"/>
    <w:rsid w:val="007513D6"/>
    <w:rsid w:val="00755852"/>
    <w:rsid w:val="00763C37"/>
    <w:rsid w:val="0076530A"/>
    <w:rsid w:val="007920A7"/>
    <w:rsid w:val="007A1D32"/>
    <w:rsid w:val="007B0182"/>
    <w:rsid w:val="007C0FC6"/>
    <w:rsid w:val="007C379E"/>
    <w:rsid w:val="007D2918"/>
    <w:rsid w:val="007D395A"/>
    <w:rsid w:val="007E136E"/>
    <w:rsid w:val="007F3B5B"/>
    <w:rsid w:val="007F5723"/>
    <w:rsid w:val="008036C7"/>
    <w:rsid w:val="00810D34"/>
    <w:rsid w:val="00821E87"/>
    <w:rsid w:val="00821EF9"/>
    <w:rsid w:val="00834650"/>
    <w:rsid w:val="00843132"/>
    <w:rsid w:val="00871DA2"/>
    <w:rsid w:val="008A16EA"/>
    <w:rsid w:val="008A4E9A"/>
    <w:rsid w:val="008A7816"/>
    <w:rsid w:val="008B4F44"/>
    <w:rsid w:val="008C2E88"/>
    <w:rsid w:val="00901384"/>
    <w:rsid w:val="00924E53"/>
    <w:rsid w:val="0092686A"/>
    <w:rsid w:val="00932E5C"/>
    <w:rsid w:val="009347A4"/>
    <w:rsid w:val="00960C42"/>
    <w:rsid w:val="009610CB"/>
    <w:rsid w:val="0096553C"/>
    <w:rsid w:val="00983ECC"/>
    <w:rsid w:val="00985BB8"/>
    <w:rsid w:val="00987032"/>
    <w:rsid w:val="00996C57"/>
    <w:rsid w:val="009A3AFB"/>
    <w:rsid w:val="009A4B03"/>
    <w:rsid w:val="009B0009"/>
    <w:rsid w:val="009C15F1"/>
    <w:rsid w:val="009C4816"/>
    <w:rsid w:val="009C7ED2"/>
    <w:rsid w:val="009D5E7E"/>
    <w:rsid w:val="009D61B4"/>
    <w:rsid w:val="00A11ED1"/>
    <w:rsid w:val="00A1238B"/>
    <w:rsid w:val="00A16513"/>
    <w:rsid w:val="00A67872"/>
    <w:rsid w:val="00A72430"/>
    <w:rsid w:val="00AA1213"/>
    <w:rsid w:val="00AD1E91"/>
    <w:rsid w:val="00AE3E5C"/>
    <w:rsid w:val="00AF701F"/>
    <w:rsid w:val="00AF72FD"/>
    <w:rsid w:val="00AF7F97"/>
    <w:rsid w:val="00B048BC"/>
    <w:rsid w:val="00B12ACB"/>
    <w:rsid w:val="00B17E2D"/>
    <w:rsid w:val="00B215BD"/>
    <w:rsid w:val="00B2365A"/>
    <w:rsid w:val="00B31B04"/>
    <w:rsid w:val="00B40C8B"/>
    <w:rsid w:val="00B433A2"/>
    <w:rsid w:val="00B62F5D"/>
    <w:rsid w:val="00B6520A"/>
    <w:rsid w:val="00B93C0B"/>
    <w:rsid w:val="00B93F10"/>
    <w:rsid w:val="00B95C04"/>
    <w:rsid w:val="00BA1529"/>
    <w:rsid w:val="00BB0041"/>
    <w:rsid w:val="00BC4C4A"/>
    <w:rsid w:val="00BF14F1"/>
    <w:rsid w:val="00BF2CFC"/>
    <w:rsid w:val="00C10B39"/>
    <w:rsid w:val="00C10EC8"/>
    <w:rsid w:val="00C257AF"/>
    <w:rsid w:val="00C451DB"/>
    <w:rsid w:val="00C50DF1"/>
    <w:rsid w:val="00C50F6E"/>
    <w:rsid w:val="00C572D7"/>
    <w:rsid w:val="00C75C10"/>
    <w:rsid w:val="00C81609"/>
    <w:rsid w:val="00C83408"/>
    <w:rsid w:val="00C86CE5"/>
    <w:rsid w:val="00CB27EB"/>
    <w:rsid w:val="00CB74D6"/>
    <w:rsid w:val="00CB7685"/>
    <w:rsid w:val="00CC7A10"/>
    <w:rsid w:val="00CD1665"/>
    <w:rsid w:val="00CE7495"/>
    <w:rsid w:val="00CF3CB9"/>
    <w:rsid w:val="00D02FC1"/>
    <w:rsid w:val="00D328C9"/>
    <w:rsid w:val="00D418FC"/>
    <w:rsid w:val="00D53168"/>
    <w:rsid w:val="00D55465"/>
    <w:rsid w:val="00D71062"/>
    <w:rsid w:val="00D80361"/>
    <w:rsid w:val="00D856A4"/>
    <w:rsid w:val="00D95754"/>
    <w:rsid w:val="00DE2DCC"/>
    <w:rsid w:val="00E00509"/>
    <w:rsid w:val="00E03BF4"/>
    <w:rsid w:val="00E0530C"/>
    <w:rsid w:val="00E23316"/>
    <w:rsid w:val="00E24770"/>
    <w:rsid w:val="00E2733E"/>
    <w:rsid w:val="00E33B79"/>
    <w:rsid w:val="00E43E4C"/>
    <w:rsid w:val="00E54DC6"/>
    <w:rsid w:val="00E57F30"/>
    <w:rsid w:val="00E6253E"/>
    <w:rsid w:val="00E7201E"/>
    <w:rsid w:val="00E72A62"/>
    <w:rsid w:val="00E75BA9"/>
    <w:rsid w:val="00E83D96"/>
    <w:rsid w:val="00E847DF"/>
    <w:rsid w:val="00E86D64"/>
    <w:rsid w:val="00E915EE"/>
    <w:rsid w:val="00EC6519"/>
    <w:rsid w:val="00EC6B48"/>
    <w:rsid w:val="00ED3140"/>
    <w:rsid w:val="00EF6AC9"/>
    <w:rsid w:val="00EF74FF"/>
    <w:rsid w:val="00F15642"/>
    <w:rsid w:val="00F26980"/>
    <w:rsid w:val="00F31FFF"/>
    <w:rsid w:val="00F36BC6"/>
    <w:rsid w:val="00F549C6"/>
    <w:rsid w:val="00F66DA9"/>
    <w:rsid w:val="00F705A0"/>
    <w:rsid w:val="00F873A5"/>
    <w:rsid w:val="00F952FF"/>
    <w:rsid w:val="00F9772D"/>
    <w:rsid w:val="00FA25FE"/>
    <w:rsid w:val="00FB50B5"/>
    <w:rsid w:val="00FB72CC"/>
    <w:rsid w:val="00FD0184"/>
    <w:rsid w:val="00FD2079"/>
    <w:rsid w:val="00FD4228"/>
    <w:rsid w:val="00FE4A21"/>
    <w:rsid w:val="00FE6E4A"/>
    <w:rsid w:val="00FF2CA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2A9"/>
  <w15:chartTrackingRefBased/>
  <w15:docId w15:val="{247908DB-81D9-462E-8F5A-7F93688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7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3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36C7"/>
  </w:style>
  <w:style w:type="paragraph" w:styleId="a5">
    <w:name w:val="footer"/>
    <w:basedOn w:val="a"/>
    <w:link w:val="a6"/>
    <w:uiPriority w:val="99"/>
    <w:unhideWhenUsed/>
    <w:rsid w:val="00803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036C7"/>
  </w:style>
  <w:style w:type="table" w:styleId="a7">
    <w:name w:val="Table Grid"/>
    <w:basedOn w:val="a1"/>
    <w:uiPriority w:val="39"/>
    <w:rsid w:val="00CF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103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B103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0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3B77-F019-45B6-BCF7-8A072436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Мазур</dc:creator>
  <cp:keywords/>
  <dc:description/>
  <cp:lastModifiedBy>Юрій Мазур</cp:lastModifiedBy>
  <cp:revision>85</cp:revision>
  <cp:lastPrinted>2024-02-14T13:58:00Z</cp:lastPrinted>
  <dcterms:created xsi:type="dcterms:W3CDTF">2024-07-15T07:50:00Z</dcterms:created>
  <dcterms:modified xsi:type="dcterms:W3CDTF">2025-02-20T18:41:00Z</dcterms:modified>
</cp:coreProperties>
</file>