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706"/>
        <w:gridCol w:w="282"/>
        <w:gridCol w:w="292"/>
        <w:gridCol w:w="168"/>
        <w:gridCol w:w="1416"/>
        <w:gridCol w:w="154"/>
        <w:gridCol w:w="2203"/>
        <w:gridCol w:w="74"/>
        <w:gridCol w:w="124"/>
        <w:gridCol w:w="298"/>
        <w:gridCol w:w="1075"/>
        <w:gridCol w:w="876"/>
        <w:gridCol w:w="805"/>
        <w:gridCol w:w="398"/>
        <w:gridCol w:w="199"/>
        <w:gridCol w:w="298"/>
        <w:gridCol w:w="812"/>
        <w:gridCol w:w="1684"/>
        <w:gridCol w:w="1684"/>
        <w:gridCol w:w="168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2025–2027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6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6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Апарат Міністерства енергетики України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40" w:type="dxa"/>
            <w:gridSpan w:val="2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2401590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0431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Реструктуризація вугільної галузі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7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8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2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 Забезпечення створення гідних умов та рівня оплати праці шахтарів, ліквідація заборгованості перед шахтарями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Задоволення потреби галузей економіки у відповідному обсязі високоякісної товарної вугільної продукції, а також утримання об'єкту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незавершеного будівництва "Будівництво шахти №10 "Нововолинська" ДП "Волиньвугілля" (коригування) в безпечному та безаварійному стані.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Запобігання аварійній ситуації, у зв'язку із можливим загазуванням та підтопленням гірничих виробок на шахті №10 "Нововолинська"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2) Фінансове оздоровлення вугледобувних підприємств державного сектору економіки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2 809 684,8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2 995 867,5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2 809 684,8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2 995 867,5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9512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164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14160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15:51:41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ec6f7737-d753-4786-9621-0e8048dff88d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285"/>
        <w:gridCol w:w="4678"/>
        <w:gridCol w:w="1103"/>
        <w:gridCol w:w="29"/>
        <w:gridCol w:w="1682"/>
        <w:gridCol w:w="398"/>
        <w:gridCol w:w="1316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1" w:name="2"/>
            <w:bookmarkEnd w:id="1"/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Субсидії та поточні трансферти підприємствам (установам,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організаціям)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2 809 684,8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2 995 867,5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2 809 684,8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2 995 867,5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2 809 684,8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2 995 867,5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2 809 684,8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2 995 867,5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бюджетної програми.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Зміни у структурі видатків не плануються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вітчизняного виробництва товарної вугільної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продукції шляхом оплати праці та внесення обов'язкових платежів,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пов'язаних з виплатою заробітної плати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2 145 783,5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2 896 267,5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2 226 946,8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2 214 161,4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2 203 438,9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2 145 783,5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2 896 267,5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2 226 946,8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2 214 161,4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2 203 438,9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1339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14160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15:51:41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ec6f7737-d753-4786-9621-0e8048dff88d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284"/>
        <w:gridCol w:w="4680"/>
        <w:gridCol w:w="1103"/>
        <w:gridCol w:w="1711"/>
        <w:gridCol w:w="398"/>
        <w:gridCol w:w="1316"/>
        <w:gridCol w:w="1712"/>
        <w:gridCol w:w="1712"/>
        <w:gridCol w:w="198"/>
        <w:gridCol w:w="1513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Утримання об'єкта незавершеного будівництва "Будівництво шахти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10 "Нововолинська" ДП "Волиньвугілля" (коригування)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безпечному та безаварійному стані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67 901,3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99 600,0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141 222,0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154 007,4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164 729,9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67 901,3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99 600,0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141 222,0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154 007,4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164 729,9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Повернення до державного бюджету коштів, виділених Міненерго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погашення заборгованості із заробітної плати перед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працівниками вугільної промисловості на поворотній основі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резервного фонду державного бюджету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596 000,0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596 000,0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2 809 684,8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2 995 867,5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2 809 684,8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2 995 867,5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2023 році виконання програми здійснювалося за трьома напрямами використання бюджетних коштів, а саме: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Забезпечення вітчизняного виробництва товарної вугільної продукції шляхом оплати праці та внесення обов`язкових платежів, пов`язаних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виплатою заробітної плати;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Утримання об`єкта незавершеного будівництва "Будівництво шахти №10 "Нововолинська" ДП "Волиньвугілля" (коригування) в безпечному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безаварійному стані;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Повернення до державного бюджету коштів, виділених Міненерго для погашення заборгованості із заробітної плати перед працівниками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вугільної промисловості на поворотній основі з резервного фонду державного бюджету.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2024 року виконання програми здійснюється за двома напрямами використання бюджетних коштів, а саме: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Забезпечення вітчизняного виробництва товарної вугільної продукції шляхом оплати праці та внесення обов`язкових платежів, пов'язаних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виплатою заробітної плати;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Утримання об'єкта незавершеного будівництва "Будівництво шахти №10 "Нововолинська" ДП "Волиньвугілля" (коригування) в безпечному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безаварійному стані;</w:t>
            </w:r>
          </w:p>
        </w:tc>
      </w:tr>
      <w:tr>
        <w:trPr>
          <w:trHeight w:hRule="exact" w:val="626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14160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15:51:41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ec6f7737-d753-4786-9621-0e8048dff88d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4"/>
        <w:gridCol w:w="4644"/>
        <w:gridCol w:w="30"/>
        <w:gridCol w:w="1118"/>
        <w:gridCol w:w="1710"/>
        <w:gridCol w:w="398"/>
        <w:gridCol w:w="1316"/>
        <w:gridCol w:w="1710"/>
        <w:gridCol w:w="1710"/>
        <w:gridCol w:w="198"/>
        <w:gridCol w:w="1512"/>
      </w:tblGrid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3" w:name="4"/>
            <w:bookmarkEnd w:id="3"/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праці та внесення обов'язкових платежів,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пов'язаних з виплатою заробітної плати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2145 783,5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2896 267,5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2226 946,8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2214 161,4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2203 438,9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Собівартість 1 т товарної вугільної продукції без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врахування адміністративних витрат, витрат на збут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амортизаційних нарахувань на обладнання, що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придбане за бюджетні кошти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6 399,9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6 366,8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7 069,0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7 278,2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7 021,7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 обсяг заробітної плати з нарахуваннями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собівартості 1 т товарної вугільної продукції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2 831,5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2 728,3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3 007,1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2 954,8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2 765,5</w:t>
            </w:r>
          </w:p>
        </w:tc>
      </w:tr>
      <w:tr>
        <w:trPr>
          <w:trHeight w:hRule="exact" w:val="122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 обсяг коштів на виконання заходів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утримання об'єкта незавершеного будівництва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"Будівництво шахти № 10 "Нововолинська" ДП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"Волиньвугілля" (коригування) в безпечному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безаварійному стані, у тому числі: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67 901,3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99 600,0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141 222,0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154 007,4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164 729,9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оплата електричної енергії, пов'язаної з утриманням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об'єкта в безпечному та безаварійному стані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42 040,2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60 333,0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95 766,9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107 556,7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116 189,0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оплата праці працівникам, які забезпечують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утримання об'єкта в безпечному та безаварійному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14 021,2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18 984,0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19 032,2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19 032,2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19 032,2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інші витрати, пов'язані з утриманням об'єкта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безпечному та безаварійному стані, у тому числі: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11 839,9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20 283,0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26 422,9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27 418,5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29 508,7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матеріали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4 237,0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3 337,1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3 751,0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4 051,0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виробничого характеру (крім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комунальних)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8 656,3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13 473,0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20 125,5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20 469,6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22 027,7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землю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 на відшкодування Пенсійному фонду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фактичних витрат на виплату та доставку пільгових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пенсій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2 059,1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2 637,6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2 869,7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 податки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320,3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 видобутого вугілля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тис.тонн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1 835,1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2 952,0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2 665,0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2 785,0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2 819,0</w:t>
            </w:r>
          </w:p>
        </w:tc>
      </w:tr>
      <w:tr>
        <w:trPr>
          <w:trHeight w:hRule="exact" w:val="4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14160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15:51:41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ec6f7737-d753-4786-9621-0e8048dff88d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4"/>
        <w:gridCol w:w="4646"/>
        <w:gridCol w:w="30"/>
        <w:gridCol w:w="1118"/>
        <w:gridCol w:w="1710"/>
        <w:gridCol w:w="397"/>
        <w:gridCol w:w="1314"/>
        <w:gridCol w:w="1710"/>
        <w:gridCol w:w="1710"/>
        <w:gridCol w:w="198"/>
        <w:gridCol w:w="1512"/>
      </w:tblGrid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 товарної вугільної продукції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тис.тонн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1 175,9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1 817,8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1 611,9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1 625,2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1 742,5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вугледобувних підприємств, яким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спрямовано кошти на оплату праці та внесення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обов'язкових платежів, пов'язаних з виплатою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заробітної плати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об'єктів, на яких здійснювалися роботи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утримання шахти №10 "Нововолинська"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безаварійному стані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Об'єм відкачаного припливу води до діючих гірничих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виробок шахти №10 "Нововолинська"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тис.куб.м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вертикальних стволів, на яких проведено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огляд та перевірку технічних засобів підйомів,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елементів підйомних машин, апаратури захистів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 управління шахти №10 "Нововолинська"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вугледобувних підприємств, якими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забезпечено повернення до державного бюджету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Об'єм поданого до гірничих виробок повітря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 до розрахунків та діючих норм шахти №10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"Нововолинська"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 куб.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м/рік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2193 460,2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2222 416,6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2222 416,6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2222 416,6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2222 416,6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Середньомісячний обсяг видатків на оплату праці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внесення обов'язкових платежів, пов'язаних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виплатою заробітної плати, одному працівнику за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рахунок бюджетних коштів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16 109,5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11 507,4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9 713,1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9 765,2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9 703,5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 бюджетних коштів, спрямованих на покриття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 із собівартості 1 т товарної вугільної продукції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1 824,9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1 593,3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1 381,6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1 362,4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1 264,5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Середньомісячна продуктивність праці робітника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видобутку, виходячи з обсягу товарної вугільної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покриття витрат з оплати праці та сплати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обов'язкових зборів і платежів, пов'язаних з її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виплатою, за рахунок коштів державного бюджету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45,7</w:t>
            </w:r>
          </w:p>
        </w:tc>
      </w:tr>
      <w:tr>
        <w:trPr>
          <w:trHeight w:hRule="exact" w:val="1170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14160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15:51:41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ec6f7737-d753-4786-9621-0e8048dff88d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4"/>
        <w:gridCol w:w="4646"/>
        <w:gridCol w:w="30"/>
        <w:gridCol w:w="1116"/>
        <w:gridCol w:w="1710"/>
        <w:gridCol w:w="397"/>
        <w:gridCol w:w="1314"/>
        <w:gridCol w:w="1711"/>
        <w:gridCol w:w="1711"/>
        <w:gridCol w:w="198"/>
        <w:gridCol w:w="1512"/>
      </w:tblGrid>
      <w:tr>
        <w:trPr>
          <w:trHeight w:hRule="exact" w:val="145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5" w:name="6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виконання робіт з обслуговування та підтримки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безаварійному та безпечному стані підземних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об'єктів, надземних будівель, споруд, а також основних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технологічних вузлів вже споруджених потужностей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шахти №10 "Нововолинська"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забезпечення повернення Міненерго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 бюджету коштів, виділених для погашення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заборгованості із заробітної плати перед працівниками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вугільної промисловості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Досягнення мети бюджетної програми щодо задоволення потреби галузей економіки у відповідному обсязі високоякісної товарної вугільної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продукції та виконання завдання з фінансового оздоровлення вугледобувних підприємств державного сектору економіки здійснюється шляхом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оплати праці та внесення обов`язкових платежів, пов`язаних з виплатою заробітної плати, у тому числі на погашення заборгованості із заробітної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плати.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зважаючи на те, що деякі державні вугледобувні підприємства знаходяться у безпосередній близькості до зони бойових дій, видобуток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рядового вугілля та виробництво товарної вугільної продукції здійснюється навіть без заходів з їх технічного переоснащення та модернізації.</w:t>
            </w:r>
          </w:p>
        </w:tc>
      </w:tr>
      <w:tr>
        <w:trPr>
          <w:trHeight w:hRule="exact" w:val="1455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Відповідно до пункту 1.2. розділу І Переліку територій, на яких ведуться (велися) бойові дії або тимчасово окупованих Російською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Федерацією, затвердженого наказом Міністерства з питань реінтеграції тимчасово окупованих територій України від 22.12.2022 № 309 (з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реєстрацією у Міністерстві юстиції України 23.12.2022 за № 1668/39004) (далі - Перелік) державні підприємства «Мирноградвугілля»,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«Селидіввугілля», «Добропіллявугілля – видобуток» розташовані у Покровському районі Донецької області та перебувають на території можливих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бойових дій з 24.02.2022.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Згідно з пунктом 2.2. розділу І Переліку Торецька міська територіальна громада Бахмутського району Донецької області, на території якої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розташовані відокремлені підрозділи ДП «Торецьквугілля», перебуває на території активних бойових дій з 24.02.2022.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Згідно з розрахунками державних вугледобувних підприємств, наданими до бюджетного запиту на 2025 – 2027 роки, динаміка показників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виробництва товарної вугільної продукції виглядає наступним чином: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період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кіль-    видобуток рядового                      товарна вугільна продукція (ТВП)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під-             вугілля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при-       обсяг     темп                   обсяг     темп          вартість       темп       середня   темп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ємств                   росту                               росту                              росту     ціна 1 т     росту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звіт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1 835,1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1 175,9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4 430 660,8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3 767,9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>
        <w:trPr>
          <w:trHeight w:hRule="exact" w:val="326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14160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15:51:41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ec6f7737-d753-4786-9621-0e8048dff88d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1"/>
        <w:gridCol w:w="4691"/>
        <w:gridCol w:w="3217"/>
        <w:gridCol w:w="4918"/>
        <w:gridCol w:w="1517"/>
      </w:tblGrid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6" w:name="7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2024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план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2 952,0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160,9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1 817,8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154,6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6 908 040,0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155,9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3 800,2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100,9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очікув.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2 649,4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89,7                1 637,0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90,1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6 262 667,2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90,7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3 825,7       100,7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2 665,0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100,6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1 611,9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98,5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6 430 869,0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102,7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3 989,6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104,3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2 785,0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104,5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1 625,2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100,8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6 854 425,4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106,6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4 217,6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105,7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2 819,0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101,2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1 742,5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107,2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7 772 068,3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113,4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4 460,3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105,8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627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Динаміка показників із собівартості товарної вугільної продукції (ТВП) без врахування адміністративних витрат, витрат на збут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амортизаційних нарахувань на обладнання, що придбане за бюджетні кошти, виглядає наступним чином: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Період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Показники із собівартості ТВП без врахування адміністративних витрат,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витрат на збут та амортизаційних нарахувань на обладнання,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 придбане за бюджетні кошти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Обсяг витрат    Собівартість     Обсяг бюджетних коштів,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т ТВП         спрямованих на покриття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витрат із собівартості 1 т ТВП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грн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звіт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7 525 587,0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6 399,9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1 824,9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план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11 576 823,0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6 304,1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1 593,3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очікув.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10 649 702,1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6 525,4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1 769,3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11 394 455,0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7 069,0            1 381,6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11 828 574,0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7 278,2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1 362,4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12 235 244,0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7 021,7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1 264,5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903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Збільшення витрат із собівартості товарної вугільної продукції без врахування адміністративних витрат, витрат на збут та амортизаційних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нарахувань на обладнання, що придбане за бюджетні кошти, пов’язано із підвищенням індексу споживчих цін та цін виробників промислової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продукції відповідно до основних макропоказників економічного та соціального розвитку України на 2024-2027 р.р.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Динаміка показників з оплати праці наведена нижче: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Період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Показники із заробітної плати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прожитковий                          витрати на оплату праці            Обсяг бюджетних асигнувань     Рівень покриття витрат</w:t>
            </w:r>
          </w:p>
        </w:tc>
      </w:tr>
      <w:tr>
        <w:trPr>
          <w:trHeight w:hRule="exact" w:val="391"/>
        </w:trPr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0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14160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15:51:41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ec6f7737-d753-4786-9621-0e8048dff88d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1"/>
        <w:gridCol w:w="4691"/>
        <w:gridCol w:w="3217"/>
        <w:gridCol w:w="4918"/>
        <w:gridCol w:w="1517"/>
      </w:tblGrid>
      <w:tr>
        <w:trPr>
          <w:trHeight w:hRule="exact" w:val="627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7" w:name="8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мінімум для                           та внесення обов’язкових          на оплату праці та внесення       з оплати праці та сплати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обов’язкових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працездатних                          платежів, пов’язаних з              обов’язкових платежів,                зборів і платежів, пов’язаних з її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                                       виплатою заробітної плати         пов’язаних                                    виплатою, за рахунок  коштів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із виробничої собівартості          з виплатою заробітної плати       державного бюджету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одну особу  темп росту      сума       на  1 т     темп росту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розрахунку     до 2024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ТВП        до 2024 р.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місяць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звіт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2 684,0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3 329 609,0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2 831,5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2 145 783,5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64,4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план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3 028,0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4 959 562,0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2 728,3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2 896 267,5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58,4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очікув.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3 028,0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4 286 670,0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2 618,6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2 896 267,5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67,6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3 028,0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4 847 208,0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3 007,1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186,6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2 226 946,8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45,9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3 028,0         100,0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4 802 169,0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2 954,8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181,8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2 214 161,4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46,1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3 028,0         100,0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4 818 856,0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2 765,5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158,7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2 203 438,9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45,7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1179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Крім того, дефіцит коштів на придбання обладнання для введення в роботу нових очисних вибоїв, капітальний ремонт гірничошахтного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обладнання, технічне переоснащення стаціонарного обладнання, виконання прохідницьких робіт призводить до катастрофічного зменшення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фронту очисних робіт, значних втрат видобутку вугілля та повного занепаду державних вугледобувних підприємств при наявності значної кількості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запасів вугілля.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Граничним обсягом видатків на заходи з технічного переоснащення та модернізації вугледобувних підприємств не передбачено.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627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Зміна показників за напрямом "Утримання об’єкта незавершеного будівництва «Будівництво шахти № 10 «Нововолинська» ДП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"Волиньвугілля" (коригування) в безпечному та безаварійному стані" обумовлена: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зростанням тарифів на електричну енергію з початку 2024 року в середньому на 43% (за укладеним договором на постачання електроенергії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2024 рік тариф становить 6,27 грн/кВт*год, станом на 01.08.24 - 8,98 грн/кВт*год).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Крім того, споживання електроенергії було обмежено. За 7 місяців 2024 року спожито на 45% менше запланованого обсягу. Для розрахунку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вартості електроенергії на 2025 рік застосована ціна постачальника "останньої надії" за 1 кВт*год за серпень 2024 року.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збільшенням витрат на оплату послуг промислового характеру:</w:t>
            </w:r>
          </w:p>
        </w:tc>
      </w:tr>
      <w:tr>
        <w:trPr>
          <w:trHeight w:hRule="exact" w:val="350"/>
        </w:trPr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0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14160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15:51:41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ec6f7737-d753-4786-9621-0e8048dff88d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142"/>
        <w:gridCol w:w="563"/>
        <w:gridCol w:w="283"/>
        <w:gridCol w:w="3378"/>
        <w:gridCol w:w="562"/>
        <w:gridCol w:w="142"/>
        <w:gridCol w:w="212"/>
        <w:gridCol w:w="366"/>
        <w:gridCol w:w="298"/>
        <w:gridCol w:w="256"/>
        <w:gridCol w:w="42"/>
        <w:gridCol w:w="533"/>
        <w:gridCol w:w="337"/>
        <w:gridCol w:w="911"/>
        <w:gridCol w:w="449"/>
        <w:gridCol w:w="29"/>
        <w:gridCol w:w="298"/>
        <w:gridCol w:w="85"/>
        <w:gridCol w:w="58"/>
        <w:gridCol w:w="915"/>
        <w:gridCol w:w="338"/>
        <w:gridCol w:w="576"/>
        <w:gridCol w:w="914"/>
        <w:gridCol w:w="226"/>
        <w:gridCol w:w="687"/>
        <w:gridCol w:w="913"/>
        <w:gridCol w:w="114"/>
        <w:gridCol w:w="197"/>
        <w:gridCol w:w="602"/>
        <w:gridCol w:w="911"/>
      </w:tblGrid>
      <w:tr>
        <w:trPr>
          <w:trHeight w:hRule="exact" w:val="1179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8" w:name="9"/>
            <w:bookmarkEnd w:id="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1) на послуги з поточного ремонту: насосного агрегату та двигуна, що встановлений на насосному агрегаті ЦНС-300/720 на водовідливному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комплексі гор. -425м.; двигуна, що встановлений на насосному агрегаті НСШ-410 водовідливного комплексу гор. -425м.; калориферної установки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допоміжному стволі; насосних агрегатів на свердловинах №1,2, що забезпечують водою адміністративно-побутовий корпус на загальну суму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6827 тис.грн.;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на поточний ремонт дахів та АПК (лазні) - 1500 тис.грн.;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на придбання програмного забезпечення породного підйому (комплект ЗШ -контролери, ПЗ, модулі виведення інформації, датчики; шафа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динамічного гальмування ШДТ-280) для запуску аварійного виходу з шахти на суму 3030,5 тис.грн.</w:t>
            </w:r>
          </w:p>
        </w:tc>
      </w:tr>
      <w:tr>
        <w:trPr>
          <w:trHeight w:hRule="exact" w:val="283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11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118" w:type="dxa"/>
            <w:gridSpan w:val="6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213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8945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7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393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10.1. Дата прийняття, номер, назва акту Кабінету Міністрів України про проведення огляду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проведення узгоджувальної наради за участю Міністерства фінансів з розгляду попередніх звітів про огляд витрат державного бюджету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сфері паливно – енергетичного комплексу в частині видатків на вугільну галузь за період з 2018 по 2022 роки, Міненерго листом від 07.06.2024 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26/1.5-18.3-13667 направило на опрацювання до Мінфіну та у робочому порядку членам робочої групи з проханням розглянути їх і надати свої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зауваження та пропозиції.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результатами оцінки проєктів звітів про огляд витрат державного бюджету Міністерство фінансів України листом від 10.07.2024 № 47010-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06/1-5/20553 надало свої зауваження та пропозиції до них.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метою визначення варіанту досягнення цілі огляду витрат у вугільній галузі відповідно до проєкту Програми діяльності державних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вугледобувних підприємств на період до 2030 року Міненерго здійснює додаткові розрахунки впливу варіантів на державний бюджет та порівняння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варіантами вирішення проблеми із закриття збиткових вугледобувних підприємств у інших країнах.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Після опрацювання зазначених питань та внесення доповнень, Міненерго повторно направить на узгодження до Мінфіну та на опрацювання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членам робочої групи проєкти звітів про огляди витрат державного бюджету.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10.2. Дата рішення Кабінету Міністрів України за результатами огляду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10.3. Інформація про врахування результатів огляду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46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14160</w:t>
            </w:r>
          </w:p>
        </w:tc>
        <w:tc>
          <w:tcPr>
            <w:tcW w:w="4692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15:51:41</w:t>
            </w:r>
          </w:p>
        </w:tc>
        <w:tc>
          <w:tcPr>
            <w:tcW w:w="3218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ec6f7737-d753-4786-9621-0e8048dff88d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9 з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284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9" w:name="10"/>
            <w:bookmarkEnd w:id="9"/>
          </w:p>
        </w:tc>
      </w:tr>
      <w:tr>
        <w:trPr>
          <w:trHeight w:hRule="exact" w:val="284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 Господарський кодекс України від 16 січня 2003 року № 436-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 Кодекс законів про працю України від 10 грудня 1971 року № 322-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Закон України від 24 березня 1995 року № 108/95-ВР "Про оплату праці".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 Закон України  від 08 липня 2010 року № 2464-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"Про збір та облік єдиного внеску на загальнообов'язкове державне соціальне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страхування".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 Закон України від 02 вересня 2008 року № 345-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"Про підвищення престижності шахтарської праці".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 Постанова Кабінету Міністрів України від 23 січня 2019 року № 80 "Про затвердження Порядку використання коштів, передбачених у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державному бюджеті для реструктуризації вугільної галузі" (зі змінами).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7.  Розпорядження Кабінету Міністрів України від 21 квітня 2023 року № 373-р "Про схвалення Енергетичної стратегії України на період до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2050 року ".</w:t>
            </w:r>
          </w:p>
        </w:tc>
      </w:tr>
      <w:tr>
        <w:trPr>
          <w:trHeight w:hRule="exact" w:val="113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Герман ГАЛУЩЕНКО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681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14160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15:51:41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ec6f7737-d753-4786-9621-0e8048dff88d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10 з 10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/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bookmarkStart w:id="10" w:name="_GoBack"/>
            <w:bookmarkEnd w:id="10"/>
            <w:r>
              <w:t xml:space="preserve"> </w:t>
            </w: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6C3E70E-313A-4489-BE7A-D4CAB6785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13147</Words>
  <Characters>7495</Characters>
  <Application>Microsoft Office Word</Application>
  <DocSecurity>0</DocSecurity>
  <Lines>62</Lines>
  <Paragraphs>41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20601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2</cp:revision>
  <dcterms:created xsi:type="dcterms:W3CDTF">2024-11-25T13:38:00Z</dcterms:created>
  <dcterms:modified xsi:type="dcterms:W3CDTF">2024-11-25T13:38:00Z</dcterms:modified>
</cp:coreProperties>
</file>