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B2008" w14:textId="77777777" w:rsidR="00447991" w:rsidRDefault="00FC54EF">
      <w:pPr>
        <w:ind w:firstLine="567"/>
        <w:jc w:val="center"/>
        <w:rPr>
          <w:b/>
          <w:sz w:val="27"/>
          <w:szCs w:val="27"/>
          <w:lang w:val="uk-UA"/>
        </w:rPr>
      </w:pPr>
      <w:r>
        <w:rPr>
          <w:b/>
          <w:sz w:val="27"/>
          <w:szCs w:val="27"/>
          <w:lang w:val="uk-UA"/>
        </w:rPr>
        <w:t>АНАЛІЗ РЕГУЛЯТОРНОГО ВПЛИВУ</w:t>
      </w:r>
    </w:p>
    <w:p w14:paraId="7178B792" w14:textId="45006075" w:rsidR="00447991" w:rsidRDefault="00FC54EF">
      <w:pPr>
        <w:contextualSpacing/>
        <w:jc w:val="center"/>
        <w:rPr>
          <w:b/>
          <w:bCs/>
          <w:sz w:val="27"/>
          <w:szCs w:val="27"/>
          <w:lang w:val="uk-UA"/>
        </w:rPr>
      </w:pPr>
      <w:proofErr w:type="spellStart"/>
      <w:r>
        <w:rPr>
          <w:b/>
          <w:bCs/>
          <w:sz w:val="27"/>
          <w:szCs w:val="27"/>
          <w:lang w:val="uk-UA"/>
        </w:rPr>
        <w:t>проєкту</w:t>
      </w:r>
      <w:proofErr w:type="spellEnd"/>
      <w:r>
        <w:rPr>
          <w:b/>
          <w:bCs/>
          <w:sz w:val="27"/>
          <w:szCs w:val="27"/>
          <w:lang w:val="uk-UA"/>
        </w:rPr>
        <w:t xml:space="preserve"> Кабінету Міністрів України «Про внесення змін до постанови Кабінету Міністрів України від 27 грудня 2018 р</w:t>
      </w:r>
      <w:r w:rsidR="007F2180">
        <w:rPr>
          <w:b/>
          <w:bCs/>
          <w:sz w:val="27"/>
          <w:szCs w:val="27"/>
          <w:lang w:val="uk-UA"/>
        </w:rPr>
        <w:t>.</w:t>
      </w:r>
      <w:r>
        <w:rPr>
          <w:b/>
          <w:bCs/>
          <w:sz w:val="27"/>
          <w:szCs w:val="27"/>
          <w:lang w:val="uk-UA"/>
        </w:rPr>
        <w:t xml:space="preserve"> № 1209»  </w:t>
      </w:r>
    </w:p>
    <w:p w14:paraId="3F274A55" w14:textId="77777777" w:rsidR="00447991" w:rsidRPr="003A6167" w:rsidRDefault="00FC54EF">
      <w:pPr>
        <w:contextualSpacing/>
        <w:jc w:val="center"/>
        <w:rPr>
          <w:sz w:val="27"/>
          <w:szCs w:val="27"/>
          <w:lang w:val="uk-UA"/>
        </w:rPr>
      </w:pPr>
      <w:r w:rsidRPr="003A6167">
        <w:rPr>
          <w:sz w:val="27"/>
          <w:szCs w:val="27"/>
          <w:lang w:val="uk-UA"/>
        </w:rPr>
        <w:t xml:space="preserve">(далі – </w:t>
      </w:r>
      <w:proofErr w:type="spellStart"/>
      <w:r w:rsidRPr="003A6167">
        <w:rPr>
          <w:sz w:val="27"/>
          <w:szCs w:val="27"/>
          <w:lang w:val="uk-UA"/>
        </w:rPr>
        <w:t>проєкт</w:t>
      </w:r>
      <w:proofErr w:type="spellEnd"/>
      <w:r w:rsidRPr="003A6167">
        <w:rPr>
          <w:sz w:val="27"/>
          <w:szCs w:val="27"/>
          <w:lang w:val="uk-UA"/>
        </w:rPr>
        <w:t xml:space="preserve"> постанови)</w:t>
      </w:r>
    </w:p>
    <w:p w14:paraId="615B871A" w14:textId="77777777" w:rsidR="00447991" w:rsidRDefault="00447991">
      <w:pPr>
        <w:ind w:right="204" w:firstLine="709"/>
        <w:jc w:val="both"/>
        <w:rPr>
          <w:sz w:val="27"/>
          <w:szCs w:val="27"/>
          <w:lang w:val="uk-UA"/>
        </w:rPr>
      </w:pPr>
    </w:p>
    <w:p w14:paraId="0F5AE3B0" w14:textId="77777777" w:rsidR="00447991" w:rsidRDefault="00FC54EF">
      <w:pPr>
        <w:numPr>
          <w:ilvl w:val="0"/>
          <w:numId w:val="1"/>
        </w:numPr>
        <w:ind w:left="0" w:right="204" w:firstLine="993"/>
        <w:jc w:val="center"/>
        <w:rPr>
          <w:b/>
          <w:sz w:val="27"/>
          <w:szCs w:val="27"/>
          <w:lang w:val="uk-UA"/>
        </w:rPr>
      </w:pPr>
      <w:r>
        <w:rPr>
          <w:b/>
          <w:sz w:val="27"/>
          <w:szCs w:val="27"/>
          <w:lang w:val="uk-UA"/>
        </w:rPr>
        <w:t>Визначення проблеми</w:t>
      </w:r>
    </w:p>
    <w:p w14:paraId="2CDD985A" w14:textId="77777777" w:rsidR="00447991" w:rsidRDefault="00447991">
      <w:pPr>
        <w:ind w:left="993" w:right="204"/>
        <w:rPr>
          <w:b/>
          <w:sz w:val="27"/>
          <w:szCs w:val="27"/>
          <w:lang w:val="uk-UA"/>
        </w:rPr>
      </w:pPr>
    </w:p>
    <w:p w14:paraId="4C2A7E20" w14:textId="20EDAB0D" w:rsidR="00447991" w:rsidRDefault="00FC54EF">
      <w:pPr>
        <w:ind w:right="204" w:firstLine="567"/>
        <w:jc w:val="both"/>
        <w:rPr>
          <w:sz w:val="27"/>
          <w:szCs w:val="27"/>
          <w:lang w:val="uk-UA"/>
        </w:rPr>
      </w:pPr>
      <w:r>
        <w:rPr>
          <w:sz w:val="27"/>
          <w:szCs w:val="27"/>
          <w:lang w:val="uk-UA"/>
        </w:rPr>
        <w:t>Відповідно до частини четвертої статті 60 Закону України «Про ринок електричної енергії» процедура складання переліку захищених споживачів, порядок обмеження, відключення електропостачання захищеним споживачам та механізм забезпечення повної поточної оплати захищеними споживачами визначаються Порядком забезпечення постачання електричної енергії захищеним споживачам, затвердженого постановою Кабінету Міністрів України від 27 грудня 2018 р</w:t>
      </w:r>
      <w:r w:rsidR="003F6FE4">
        <w:rPr>
          <w:sz w:val="27"/>
          <w:szCs w:val="27"/>
          <w:lang w:val="uk-UA"/>
        </w:rPr>
        <w:t>оку</w:t>
      </w:r>
      <w:r>
        <w:rPr>
          <w:sz w:val="27"/>
          <w:szCs w:val="27"/>
          <w:lang w:val="uk-UA"/>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 (зі змінами) (далі – Порядок). </w:t>
      </w:r>
    </w:p>
    <w:p w14:paraId="15356BC4" w14:textId="77777777" w:rsidR="00447991" w:rsidRDefault="00FC54EF">
      <w:pPr>
        <w:ind w:right="204" w:firstLine="567"/>
        <w:jc w:val="both"/>
        <w:rPr>
          <w:sz w:val="27"/>
          <w:szCs w:val="27"/>
          <w:lang w:val="uk-UA"/>
        </w:rPr>
      </w:pPr>
      <w:r>
        <w:rPr>
          <w:sz w:val="27"/>
          <w:szCs w:val="27"/>
          <w:lang w:val="uk-UA"/>
        </w:rPr>
        <w:t>У зв’язку зі складністю процедури отримання статусу захищеного споживача відповідно до вищезазначеного Порядку станом на сьогодні не було визначено жодного захищеного споживача.</w:t>
      </w:r>
    </w:p>
    <w:p w14:paraId="3D740563" w14:textId="77777777" w:rsidR="00447991" w:rsidRDefault="00FC54EF">
      <w:pPr>
        <w:widowControl w:val="0"/>
        <w:autoSpaceDE w:val="0"/>
        <w:autoSpaceDN w:val="0"/>
        <w:adjustRightInd w:val="0"/>
        <w:ind w:right="204" w:firstLine="708"/>
        <w:jc w:val="both"/>
        <w:rPr>
          <w:sz w:val="27"/>
          <w:szCs w:val="27"/>
          <w:lang w:val="uk-UA"/>
        </w:rPr>
      </w:pPr>
      <w:proofErr w:type="spellStart"/>
      <w:r>
        <w:rPr>
          <w:sz w:val="27"/>
          <w:szCs w:val="27"/>
          <w:lang w:val="uk-UA"/>
        </w:rPr>
        <w:t>Проєкт</w:t>
      </w:r>
      <w:proofErr w:type="spellEnd"/>
      <w:r>
        <w:rPr>
          <w:sz w:val="27"/>
          <w:szCs w:val="27"/>
          <w:lang w:val="uk-UA"/>
        </w:rPr>
        <w:t xml:space="preserve"> постанови розроблено на виконання протокольного рішення наради з питання врегулювання заборгованості на балансуючому ринку електричної енергії, яка відбулася 13 червня 2024 року під головуванням заступника Секретаря РНБОУ за участі представників НКРЕКП, Міненерго, НЕК «Укренерго». </w:t>
      </w:r>
    </w:p>
    <w:p w14:paraId="26FF6FDF" w14:textId="2119B7D6" w:rsidR="00447991" w:rsidRDefault="00FC54EF">
      <w:pPr>
        <w:ind w:right="204" w:firstLine="567"/>
        <w:jc w:val="both"/>
        <w:rPr>
          <w:sz w:val="27"/>
          <w:szCs w:val="27"/>
          <w:lang w:val="uk-UA"/>
        </w:rPr>
      </w:pPr>
      <w:r>
        <w:rPr>
          <w:sz w:val="27"/>
          <w:szCs w:val="27"/>
          <w:lang w:val="uk-UA"/>
        </w:rPr>
        <w:t xml:space="preserve">З метою недопущення дублювання діючого регуляторного </w:t>
      </w:r>
      <w:proofErr w:type="spellStart"/>
      <w:r>
        <w:rPr>
          <w:sz w:val="27"/>
          <w:szCs w:val="27"/>
          <w:lang w:val="uk-UA"/>
        </w:rPr>
        <w:t>акта</w:t>
      </w:r>
      <w:proofErr w:type="spellEnd"/>
      <w:r>
        <w:rPr>
          <w:sz w:val="27"/>
          <w:szCs w:val="27"/>
          <w:lang w:val="uk-UA"/>
        </w:rPr>
        <w:t xml:space="preserve"> відповідно до статті 5 Закону України «Про засади державної регуляторної політики у сфері господарської діяльності» розроблені зміни до чинної постанови Кабінету Міністрів України від 27 грудня 2018 р</w:t>
      </w:r>
      <w:r w:rsidR="003A6167">
        <w:rPr>
          <w:sz w:val="27"/>
          <w:szCs w:val="27"/>
          <w:lang w:val="uk-UA"/>
        </w:rPr>
        <w:t>оку</w:t>
      </w:r>
      <w:r>
        <w:rPr>
          <w:sz w:val="27"/>
          <w:szCs w:val="27"/>
          <w:lang w:val="uk-UA"/>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 (зі змінами). Вказані зміни до постанови спрямовані на спрощення та впорядкування процедури отримання статусу захищеного споживача.</w:t>
      </w:r>
    </w:p>
    <w:p w14:paraId="30738DBD" w14:textId="77777777" w:rsidR="00447991" w:rsidRDefault="00FC54EF">
      <w:pPr>
        <w:ind w:right="204" w:firstLine="567"/>
        <w:jc w:val="both"/>
        <w:rPr>
          <w:sz w:val="27"/>
          <w:szCs w:val="27"/>
          <w:lang w:val="uk-UA"/>
        </w:rPr>
      </w:pPr>
      <w:r>
        <w:rPr>
          <w:sz w:val="27"/>
          <w:szCs w:val="27"/>
          <w:lang w:val="uk-UA"/>
        </w:rPr>
        <w:t xml:space="preserve">Станом на сьогодні на балансуючому ринку електричної енергії сформувалися мільярдні борги (близько 32,5 млрд грн заборгованість учасників ринку перед НЕК «Укренерго» та близько 16,6 млрд грн заборгованість НЕК «Укренерго» перед учасниками ринку). Серед основних боржників, які створюють передумови для накопичення таких боргів, є підприємства критичної інфраструктури, а саме вугледобувні підприємства, підприємства централізованого водопостачання та водовідведення, підприємства, які забезпечують надання теплової енергії та комунальних послуг (далі – суб’єкти господарювання). Такі суб’єкти господарювання несвоєчасно сплачують за електричну енергію, разом з тим їх не відключають від електропостачання. </w:t>
      </w:r>
    </w:p>
    <w:p w14:paraId="5C114953" w14:textId="00AD7383" w:rsidR="00447991" w:rsidRDefault="00FC54EF">
      <w:pPr>
        <w:ind w:right="204" w:firstLine="567"/>
        <w:jc w:val="both"/>
        <w:rPr>
          <w:sz w:val="27"/>
          <w:szCs w:val="27"/>
          <w:lang w:val="uk-UA"/>
        </w:rPr>
      </w:pPr>
      <w:r>
        <w:rPr>
          <w:sz w:val="27"/>
          <w:szCs w:val="27"/>
          <w:lang w:val="uk-UA"/>
        </w:rPr>
        <w:t xml:space="preserve">Таким чином, створюється проблема, яка призводить до неможливості своєчасних розрахунків оператором системи передачі на балансуючому ринку, у тому числі перед </w:t>
      </w:r>
      <w:r w:rsidR="003A6167">
        <w:rPr>
          <w:sz w:val="27"/>
          <w:szCs w:val="27"/>
          <w:lang w:val="uk-UA"/>
        </w:rPr>
        <w:t>виробниками</w:t>
      </w:r>
      <w:r w:rsidR="006618B9">
        <w:rPr>
          <w:sz w:val="27"/>
          <w:szCs w:val="27"/>
          <w:lang w:val="uk-UA"/>
        </w:rPr>
        <w:t xml:space="preserve"> електричної енергією</w:t>
      </w:r>
      <w:r>
        <w:rPr>
          <w:sz w:val="27"/>
          <w:szCs w:val="27"/>
          <w:lang w:val="uk-UA"/>
        </w:rPr>
        <w:t xml:space="preserve">. </w:t>
      </w:r>
    </w:p>
    <w:p w14:paraId="1E36E1CD" w14:textId="5C0E655E" w:rsidR="00447991" w:rsidRDefault="00FC54EF">
      <w:pPr>
        <w:ind w:right="204" w:firstLine="567"/>
        <w:jc w:val="both"/>
        <w:rPr>
          <w:sz w:val="27"/>
          <w:szCs w:val="27"/>
          <w:lang w:val="uk-UA"/>
        </w:rPr>
      </w:pPr>
      <w:r>
        <w:rPr>
          <w:sz w:val="27"/>
          <w:szCs w:val="27"/>
          <w:lang w:val="uk-UA"/>
        </w:rPr>
        <w:t xml:space="preserve">Зазначені проблеми призводять до того, що недоотримання коштів </w:t>
      </w:r>
      <w:r w:rsidR="006618B9">
        <w:rPr>
          <w:sz w:val="27"/>
          <w:szCs w:val="27"/>
          <w:lang w:val="uk-UA"/>
        </w:rPr>
        <w:t>виробниками електричної енергії</w:t>
      </w:r>
      <w:r>
        <w:rPr>
          <w:sz w:val="27"/>
          <w:szCs w:val="27"/>
          <w:lang w:val="uk-UA"/>
        </w:rPr>
        <w:t xml:space="preserve"> за надані послуги на балансуючому ринку не </w:t>
      </w:r>
      <w:r>
        <w:rPr>
          <w:sz w:val="27"/>
          <w:szCs w:val="27"/>
          <w:lang w:val="uk-UA"/>
        </w:rPr>
        <w:lastRenderedPageBreak/>
        <w:t>дозволяють проводити своєчасне технічне обслуговування та ремонт обладнання (у тому числі для підготовки до осінньо-зимового періоду 2024</w:t>
      </w:r>
      <w:r w:rsidR="00650D5E">
        <w:rPr>
          <w:sz w:val="27"/>
          <w:szCs w:val="27"/>
          <w:lang w:val="uk-UA"/>
        </w:rPr>
        <w:t xml:space="preserve"> – </w:t>
      </w:r>
      <w:r>
        <w:rPr>
          <w:sz w:val="27"/>
          <w:szCs w:val="27"/>
          <w:lang w:val="uk-UA"/>
        </w:rPr>
        <w:t>2025</w:t>
      </w:r>
      <w:r w:rsidR="00650D5E">
        <w:rPr>
          <w:sz w:val="27"/>
          <w:szCs w:val="27"/>
          <w:lang w:val="uk-UA"/>
        </w:rPr>
        <w:t xml:space="preserve"> років</w:t>
      </w:r>
      <w:r>
        <w:rPr>
          <w:sz w:val="27"/>
          <w:szCs w:val="27"/>
          <w:lang w:val="uk-UA"/>
        </w:rPr>
        <w:t>). Тому виникає необхідність створення механізму забезпечення розрахунків за електричну енергію таких підприємств для зупинення накопичення боргів.</w:t>
      </w:r>
    </w:p>
    <w:p w14:paraId="3A81377C" w14:textId="77777777" w:rsidR="00447991" w:rsidRDefault="00FC54EF">
      <w:pPr>
        <w:ind w:right="204" w:firstLine="567"/>
        <w:jc w:val="both"/>
        <w:rPr>
          <w:sz w:val="27"/>
          <w:szCs w:val="27"/>
          <w:lang w:val="uk-UA"/>
        </w:rPr>
      </w:pPr>
      <w:r>
        <w:rPr>
          <w:sz w:val="27"/>
          <w:szCs w:val="27"/>
          <w:lang w:val="uk-UA"/>
        </w:rPr>
        <w:t xml:space="preserve">Водночас відключення визначених </w:t>
      </w:r>
      <w:proofErr w:type="spellStart"/>
      <w:r>
        <w:rPr>
          <w:sz w:val="27"/>
          <w:szCs w:val="27"/>
          <w:lang w:val="uk-UA"/>
        </w:rPr>
        <w:t>суб</w:t>
      </w:r>
      <w:proofErr w:type="spellEnd"/>
      <w:r>
        <w:rPr>
          <w:sz w:val="27"/>
          <w:szCs w:val="27"/>
        </w:rPr>
        <w:t>’</w:t>
      </w:r>
      <w:proofErr w:type="spellStart"/>
      <w:r>
        <w:rPr>
          <w:sz w:val="27"/>
          <w:szCs w:val="27"/>
          <w:lang w:val="uk-UA"/>
        </w:rPr>
        <w:t>єктів</w:t>
      </w:r>
      <w:proofErr w:type="spellEnd"/>
      <w:r>
        <w:rPr>
          <w:sz w:val="27"/>
          <w:szCs w:val="27"/>
          <w:lang w:val="uk-UA"/>
        </w:rPr>
        <w:t xml:space="preserve"> господарювання знизить рівень життя побутових споживачів та може спричинити виникнення надзвичайних ситуацій техногенного характеру.</w:t>
      </w:r>
    </w:p>
    <w:p w14:paraId="0A3A6ADD" w14:textId="77777777" w:rsidR="00447991" w:rsidRDefault="00FC54EF">
      <w:pPr>
        <w:ind w:right="204" w:firstLine="567"/>
        <w:jc w:val="both"/>
        <w:rPr>
          <w:sz w:val="27"/>
          <w:szCs w:val="27"/>
          <w:lang w:val="uk-UA"/>
        </w:rPr>
      </w:pPr>
      <w:r>
        <w:rPr>
          <w:sz w:val="27"/>
          <w:szCs w:val="27"/>
          <w:lang w:val="uk-UA"/>
        </w:rPr>
        <w:t>З метою недопущення їх виникнення є необхідність спрощення процедури визначення переліку захищених споживачів електричної енергії (далі – захищені споживачі)  та складення переліку захищених споживачів  відповідно до чітких критеріїв, обмеження, відключення електропостачання яких може спричинити надзвичайну ситуацію техногенного характеру та які водночас забезпечують життєдіяльність населення, а також передбачити механізми забезпечення оплати за спожиту захищеними споживачами електричну енергію, відмінні від попередньої оплати прогнозованого обсягу споживання електричної енергії та/або надання фінансової гарантії оплати спожитої захищеним споживачем електричної енергії, як визначено чинною редакцією.</w:t>
      </w:r>
    </w:p>
    <w:p w14:paraId="7E225974" w14:textId="2C333E37" w:rsidR="00447991" w:rsidRDefault="00FC54EF">
      <w:pPr>
        <w:ind w:right="204" w:firstLine="567"/>
        <w:jc w:val="both"/>
        <w:rPr>
          <w:sz w:val="27"/>
          <w:szCs w:val="27"/>
          <w:lang w:val="uk-UA"/>
        </w:rPr>
      </w:pPr>
      <w:r>
        <w:rPr>
          <w:sz w:val="27"/>
          <w:szCs w:val="27"/>
          <w:lang w:val="uk-UA"/>
        </w:rPr>
        <w:t>Крім того є необхідним зупинення збільшення зростання суми боргу з</w:t>
      </w:r>
      <w:r w:rsidR="006618B9">
        <w:rPr>
          <w:sz w:val="27"/>
          <w:szCs w:val="27"/>
          <w:lang w:val="uk-UA"/>
        </w:rPr>
        <w:t>а</w:t>
      </w:r>
      <w:r>
        <w:rPr>
          <w:sz w:val="27"/>
          <w:szCs w:val="27"/>
          <w:lang w:val="uk-UA"/>
        </w:rPr>
        <w:t xml:space="preserve"> оплат</w:t>
      </w:r>
      <w:r w:rsidR="006618B9">
        <w:rPr>
          <w:sz w:val="27"/>
          <w:szCs w:val="27"/>
          <w:lang w:val="uk-UA"/>
        </w:rPr>
        <w:t>у</w:t>
      </w:r>
      <w:r>
        <w:rPr>
          <w:sz w:val="27"/>
          <w:szCs w:val="27"/>
          <w:lang w:val="uk-UA"/>
        </w:rPr>
        <w:t xml:space="preserve"> спожитої електричної енергії, забезпечити створення передумов  для будівництва генеруючих </w:t>
      </w:r>
      <w:proofErr w:type="spellStart"/>
      <w:r>
        <w:rPr>
          <w:sz w:val="27"/>
          <w:szCs w:val="27"/>
          <w:lang w:val="uk-UA"/>
        </w:rPr>
        <w:t>потужностей</w:t>
      </w:r>
      <w:proofErr w:type="spellEnd"/>
      <w:r>
        <w:rPr>
          <w:sz w:val="27"/>
          <w:szCs w:val="27"/>
          <w:lang w:val="uk-UA"/>
        </w:rPr>
        <w:t xml:space="preserve"> в українській енергосистемі.</w:t>
      </w:r>
    </w:p>
    <w:p w14:paraId="06CEA7B0" w14:textId="77777777" w:rsidR="00447991" w:rsidRDefault="00FC54EF">
      <w:pPr>
        <w:ind w:right="204" w:firstLine="567"/>
        <w:jc w:val="both"/>
        <w:rPr>
          <w:sz w:val="27"/>
          <w:szCs w:val="27"/>
          <w:lang w:val="uk-UA"/>
        </w:rPr>
      </w:pPr>
      <w:r>
        <w:rPr>
          <w:sz w:val="27"/>
          <w:szCs w:val="27"/>
          <w:lang w:val="uk-UA"/>
        </w:rPr>
        <w:t xml:space="preserve">Однією з переваг запропонованої у змінах спрощеної процедури отримання статусу захищеного споживача є зменшення кількості необхідних документів, які має надати суб’єкт господарювання для отримання статусу захищеного споживача та для застосування до нього заходів з безпечного відключення/обмеження електропостачання з метою недопущення виникнення надзвичайної ситуації техногенного характеру. Зокрема, для набуття статусу захищеного споживача споживач має укласти договір про договірне списання протягом 20 календарних днів з дня отримання відповідного запиту від центрального органу виконавчої влади, який здійснює збір пропозицій до переліку захищених споживачів відповідно до </w:t>
      </w:r>
      <w:proofErr w:type="spellStart"/>
      <w:r>
        <w:rPr>
          <w:sz w:val="27"/>
          <w:szCs w:val="27"/>
          <w:lang w:val="uk-UA"/>
        </w:rPr>
        <w:t>проєкту</w:t>
      </w:r>
      <w:proofErr w:type="spellEnd"/>
      <w:r>
        <w:rPr>
          <w:sz w:val="27"/>
          <w:szCs w:val="27"/>
          <w:lang w:val="uk-UA"/>
        </w:rPr>
        <w:t xml:space="preserve"> постанови. Вказаний термін визначений з урахуванням існуючого досвіду укладення договорів купівлі-продажу електричної енергії за «зеленим» тарифом та про участь у балансуючій групі гарантованого покупця, термін на укладення яких становить 10 робочих днів.  </w:t>
      </w:r>
    </w:p>
    <w:p w14:paraId="4103B7D2" w14:textId="77777777" w:rsidR="00447991" w:rsidRDefault="00FC54EF">
      <w:pPr>
        <w:ind w:right="204" w:firstLine="567"/>
        <w:jc w:val="both"/>
        <w:rPr>
          <w:sz w:val="27"/>
          <w:szCs w:val="27"/>
          <w:lang w:val="uk-UA"/>
        </w:rPr>
      </w:pPr>
      <w:r>
        <w:rPr>
          <w:sz w:val="27"/>
          <w:szCs w:val="27"/>
          <w:lang w:val="uk-UA"/>
        </w:rPr>
        <w:t>Також з метою недопущення екологічних проблем регіонального характеру Програма безпечного відключення погоджується місцевими органами виконавчої влади в межах їх компетенції у частині узгодження можливих негативних наслідків в результаті зупинки технологічного процесу (виробничого циклу) захищеного споживача через відключення/обмеження електропостачання.</w:t>
      </w:r>
    </w:p>
    <w:p w14:paraId="46AFC58F" w14:textId="2AF035BF" w:rsidR="00447991" w:rsidRDefault="00FC54EF">
      <w:pPr>
        <w:ind w:right="204" w:firstLine="567"/>
        <w:jc w:val="both"/>
        <w:rPr>
          <w:sz w:val="27"/>
          <w:szCs w:val="27"/>
          <w:lang w:val="uk-UA"/>
        </w:rPr>
      </w:pPr>
      <w:r>
        <w:rPr>
          <w:sz w:val="27"/>
          <w:szCs w:val="27"/>
          <w:lang w:val="uk-UA"/>
        </w:rPr>
        <w:t>Слід зауважити, що до постанови Кабінету Міністрів України від 27 грудня 2018 р</w:t>
      </w:r>
      <w:r w:rsidR="006618B9">
        <w:rPr>
          <w:sz w:val="27"/>
          <w:szCs w:val="27"/>
          <w:lang w:val="uk-UA"/>
        </w:rPr>
        <w:t>оку</w:t>
      </w:r>
      <w:r>
        <w:rPr>
          <w:sz w:val="27"/>
          <w:szCs w:val="27"/>
          <w:lang w:val="uk-UA"/>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 постановами Кабінету Міністрів України від 25 березня               2019 р</w:t>
      </w:r>
      <w:r w:rsidR="006618B9">
        <w:rPr>
          <w:sz w:val="27"/>
          <w:szCs w:val="27"/>
          <w:lang w:val="uk-UA"/>
        </w:rPr>
        <w:t>оку</w:t>
      </w:r>
      <w:r>
        <w:rPr>
          <w:sz w:val="27"/>
          <w:szCs w:val="27"/>
          <w:lang w:val="uk-UA"/>
        </w:rPr>
        <w:t xml:space="preserve"> № 300, від 5 липня 2019 р</w:t>
      </w:r>
      <w:r w:rsidR="006618B9">
        <w:rPr>
          <w:sz w:val="27"/>
          <w:szCs w:val="27"/>
          <w:lang w:val="uk-UA"/>
        </w:rPr>
        <w:t>оку</w:t>
      </w:r>
      <w:r>
        <w:rPr>
          <w:sz w:val="27"/>
          <w:szCs w:val="27"/>
          <w:lang w:val="uk-UA"/>
        </w:rPr>
        <w:t xml:space="preserve"> № 570 та від 23 листопада 2020 р</w:t>
      </w:r>
      <w:r w:rsidR="006618B9">
        <w:rPr>
          <w:sz w:val="27"/>
          <w:szCs w:val="27"/>
          <w:lang w:val="uk-UA"/>
        </w:rPr>
        <w:t>оку</w:t>
      </w:r>
      <w:r>
        <w:rPr>
          <w:sz w:val="27"/>
          <w:szCs w:val="27"/>
          <w:lang w:val="uk-UA"/>
        </w:rPr>
        <w:t xml:space="preserve"> №</w:t>
      </w:r>
      <w:r w:rsidR="006618B9">
        <w:rPr>
          <w:sz w:val="27"/>
          <w:szCs w:val="27"/>
          <w:lang w:val="uk-UA"/>
        </w:rPr>
        <w:t> </w:t>
      </w:r>
      <w:r>
        <w:rPr>
          <w:sz w:val="27"/>
          <w:szCs w:val="27"/>
          <w:lang w:val="uk-UA"/>
        </w:rPr>
        <w:t xml:space="preserve">1146 </w:t>
      </w:r>
      <w:proofErr w:type="spellStart"/>
      <w:r>
        <w:rPr>
          <w:sz w:val="27"/>
          <w:szCs w:val="27"/>
          <w:lang w:val="uk-UA"/>
        </w:rPr>
        <w:t>внесено</w:t>
      </w:r>
      <w:proofErr w:type="spellEnd"/>
      <w:r>
        <w:rPr>
          <w:sz w:val="27"/>
          <w:szCs w:val="27"/>
          <w:lang w:val="uk-UA"/>
        </w:rPr>
        <w:t xml:space="preserve"> зміни, відповідно до яких обмеження, відключення електропостачання не застосовуються до об’єктів державної форми власності, що мають стратегічне значення для економіки і безпеки держави у сфері </w:t>
      </w:r>
      <w:r>
        <w:rPr>
          <w:sz w:val="27"/>
          <w:szCs w:val="27"/>
          <w:lang w:val="uk-UA"/>
        </w:rPr>
        <w:lastRenderedPageBreak/>
        <w:t xml:space="preserve">телекомунікацій та зв’язку, об’єктів комунального підприємства «Компанія </w:t>
      </w:r>
      <w:r w:rsidR="00EB1BC9">
        <w:rPr>
          <w:sz w:val="27"/>
          <w:szCs w:val="27"/>
          <w:lang w:val="uk-UA"/>
        </w:rPr>
        <w:t>«</w:t>
      </w:r>
      <w:r>
        <w:rPr>
          <w:sz w:val="27"/>
          <w:szCs w:val="27"/>
          <w:lang w:val="uk-UA"/>
        </w:rPr>
        <w:t>Вода Донбасу» та комунального підприємства «</w:t>
      </w:r>
      <w:proofErr w:type="spellStart"/>
      <w:r>
        <w:rPr>
          <w:sz w:val="27"/>
          <w:szCs w:val="27"/>
          <w:lang w:val="uk-UA"/>
        </w:rPr>
        <w:t>Попаснянський</w:t>
      </w:r>
      <w:proofErr w:type="spellEnd"/>
      <w:r>
        <w:rPr>
          <w:sz w:val="27"/>
          <w:szCs w:val="27"/>
          <w:lang w:val="uk-UA"/>
        </w:rPr>
        <w:t xml:space="preserve"> районний водоканал», які не визначені захищеними споживачами відповідно до процедури та для них не передбачене гарантоване джерело фінансування. </w:t>
      </w:r>
    </w:p>
    <w:p w14:paraId="603AE9B8" w14:textId="77777777" w:rsidR="00447991" w:rsidRDefault="00FC54EF">
      <w:pPr>
        <w:ind w:right="204" w:firstLine="567"/>
        <w:jc w:val="both"/>
        <w:rPr>
          <w:sz w:val="27"/>
          <w:szCs w:val="27"/>
          <w:lang w:val="uk-UA"/>
        </w:rPr>
      </w:pPr>
      <w:proofErr w:type="spellStart"/>
      <w:r>
        <w:rPr>
          <w:sz w:val="27"/>
          <w:szCs w:val="27"/>
          <w:lang w:val="uk-UA"/>
        </w:rPr>
        <w:t>Проєктом</w:t>
      </w:r>
      <w:proofErr w:type="spellEnd"/>
      <w:r>
        <w:rPr>
          <w:sz w:val="27"/>
          <w:szCs w:val="27"/>
          <w:lang w:val="uk-UA"/>
        </w:rPr>
        <w:t xml:space="preserve"> постанови пропонується вилучити вказані положення, оскільки об’єкти державної форми власності, що мають стратегічне значення для економіки і безпеки держави у сфері телекомунікацій та зв’язку, на належать до категорій підприємств, визначених в </w:t>
      </w:r>
      <w:proofErr w:type="spellStart"/>
      <w:r>
        <w:rPr>
          <w:sz w:val="27"/>
          <w:szCs w:val="27"/>
          <w:lang w:val="uk-UA"/>
        </w:rPr>
        <w:t>проєкті</w:t>
      </w:r>
      <w:proofErr w:type="spellEnd"/>
      <w:r>
        <w:rPr>
          <w:sz w:val="27"/>
          <w:szCs w:val="27"/>
          <w:lang w:val="uk-UA"/>
        </w:rPr>
        <w:t xml:space="preserve"> постанови. </w:t>
      </w:r>
    </w:p>
    <w:p w14:paraId="4F2531D4" w14:textId="3E4BF61A" w:rsidR="00447991" w:rsidRDefault="00FC54EF">
      <w:pPr>
        <w:ind w:right="204" w:firstLine="567"/>
        <w:jc w:val="both"/>
        <w:rPr>
          <w:sz w:val="27"/>
          <w:szCs w:val="27"/>
          <w:lang w:val="uk-UA"/>
        </w:rPr>
      </w:pPr>
      <w:r>
        <w:rPr>
          <w:sz w:val="27"/>
          <w:szCs w:val="27"/>
          <w:lang w:val="uk-UA"/>
        </w:rPr>
        <w:t>Разом з цим відповідно до запропонованих змін до Порядку</w:t>
      </w:r>
      <w:r w:rsidR="00001B1C">
        <w:rPr>
          <w:sz w:val="27"/>
          <w:szCs w:val="27"/>
          <w:lang w:val="uk-UA"/>
        </w:rPr>
        <w:t>,</w:t>
      </w:r>
      <w:r>
        <w:rPr>
          <w:sz w:val="27"/>
          <w:szCs w:val="27"/>
          <w:lang w:val="uk-UA"/>
        </w:rPr>
        <w:t xml:space="preserve"> об’єкти комунального підприємства «Компанія «Вода Донбасу» можуть бути запропоновані для включення до переліку захищених споживачів та отримати статус захищеного споживача.</w:t>
      </w:r>
    </w:p>
    <w:p w14:paraId="60F560C3" w14:textId="77777777" w:rsidR="00447991" w:rsidRDefault="00447991">
      <w:pPr>
        <w:ind w:right="204" w:firstLine="709"/>
        <w:jc w:val="both"/>
        <w:rPr>
          <w:sz w:val="28"/>
          <w:szCs w:val="28"/>
          <w:lang w:val="uk-UA" w:eastAsia="uk-UA"/>
        </w:rPr>
      </w:pPr>
    </w:p>
    <w:p w14:paraId="408E155F" w14:textId="77777777" w:rsidR="00447991" w:rsidRDefault="00FC54EF">
      <w:pPr>
        <w:pStyle w:val="rvps2"/>
        <w:spacing w:before="0" w:beforeAutospacing="0" w:after="0" w:afterAutospacing="0"/>
        <w:jc w:val="both"/>
        <w:rPr>
          <w:b/>
          <w:sz w:val="27"/>
          <w:szCs w:val="27"/>
          <w:lang w:val="uk-UA"/>
        </w:rPr>
      </w:pPr>
      <w:r>
        <w:rPr>
          <w:sz w:val="28"/>
          <w:szCs w:val="28"/>
          <w:lang w:val="uk-UA"/>
        </w:rPr>
        <w:tab/>
      </w:r>
      <w:r>
        <w:rPr>
          <w:b/>
          <w:sz w:val="27"/>
          <w:szCs w:val="27"/>
          <w:lang w:val="uk-UA"/>
        </w:rPr>
        <w:t>Основні групи (підгрупи), на які проблема справляє вплив:</w:t>
      </w:r>
    </w:p>
    <w:p w14:paraId="25D6B302" w14:textId="77777777" w:rsidR="00447991" w:rsidRDefault="00447991">
      <w:pPr>
        <w:widowControl w:val="0"/>
        <w:autoSpaceDE w:val="0"/>
        <w:autoSpaceDN w:val="0"/>
        <w:adjustRightInd w:val="0"/>
        <w:ind w:left="720"/>
        <w:rPr>
          <w:sz w:val="27"/>
          <w:szCs w:val="27"/>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3544"/>
      </w:tblGrid>
      <w:tr w:rsidR="00447991" w14:paraId="703469C5" w14:textId="77777777">
        <w:trPr>
          <w:cantSplit/>
        </w:trPr>
        <w:tc>
          <w:tcPr>
            <w:tcW w:w="2268" w:type="dxa"/>
            <w:shd w:val="clear" w:color="auto" w:fill="auto"/>
            <w:vAlign w:val="center"/>
          </w:tcPr>
          <w:p w14:paraId="389E10DE" w14:textId="77777777" w:rsidR="00447991" w:rsidRDefault="00FC54EF">
            <w:pPr>
              <w:widowControl w:val="0"/>
              <w:autoSpaceDE w:val="0"/>
              <w:autoSpaceDN w:val="0"/>
              <w:adjustRightInd w:val="0"/>
              <w:ind w:left="260"/>
              <w:jc w:val="center"/>
              <w:rPr>
                <w:lang w:val="uk-UA"/>
              </w:rPr>
            </w:pPr>
            <w:r>
              <w:rPr>
                <w:b/>
                <w:bCs/>
                <w:lang w:val="uk-UA"/>
              </w:rPr>
              <w:t>Групи (підгрупи)</w:t>
            </w:r>
          </w:p>
        </w:tc>
        <w:tc>
          <w:tcPr>
            <w:tcW w:w="3402" w:type="dxa"/>
            <w:shd w:val="clear" w:color="auto" w:fill="auto"/>
            <w:vAlign w:val="center"/>
          </w:tcPr>
          <w:p w14:paraId="22F9F6E2" w14:textId="77777777" w:rsidR="00447991" w:rsidRDefault="00FC54EF">
            <w:pPr>
              <w:widowControl w:val="0"/>
              <w:autoSpaceDE w:val="0"/>
              <w:autoSpaceDN w:val="0"/>
              <w:adjustRightInd w:val="0"/>
              <w:jc w:val="center"/>
              <w:rPr>
                <w:lang w:val="uk-UA"/>
              </w:rPr>
            </w:pPr>
            <w:r>
              <w:rPr>
                <w:b/>
                <w:bCs/>
                <w:lang w:val="uk-UA"/>
              </w:rPr>
              <w:t>Так</w:t>
            </w:r>
          </w:p>
        </w:tc>
        <w:tc>
          <w:tcPr>
            <w:tcW w:w="3544" w:type="dxa"/>
            <w:shd w:val="clear" w:color="auto" w:fill="auto"/>
            <w:vAlign w:val="center"/>
          </w:tcPr>
          <w:p w14:paraId="6A80F498" w14:textId="77777777" w:rsidR="00447991" w:rsidRDefault="00FC54EF">
            <w:pPr>
              <w:widowControl w:val="0"/>
              <w:autoSpaceDE w:val="0"/>
              <w:autoSpaceDN w:val="0"/>
              <w:adjustRightInd w:val="0"/>
              <w:jc w:val="center"/>
              <w:rPr>
                <w:lang w:val="uk-UA"/>
              </w:rPr>
            </w:pPr>
            <w:r>
              <w:rPr>
                <w:b/>
                <w:bCs/>
                <w:lang w:val="uk-UA"/>
              </w:rPr>
              <w:t>Ні</w:t>
            </w:r>
          </w:p>
        </w:tc>
      </w:tr>
      <w:tr w:rsidR="00447991" w14:paraId="0405F3C1" w14:textId="77777777">
        <w:trPr>
          <w:cantSplit/>
          <w:trHeight w:val="65"/>
        </w:trPr>
        <w:tc>
          <w:tcPr>
            <w:tcW w:w="2268" w:type="dxa"/>
            <w:shd w:val="clear" w:color="auto" w:fill="auto"/>
          </w:tcPr>
          <w:p w14:paraId="25CAA2C1" w14:textId="77777777" w:rsidR="00447991" w:rsidRDefault="00FC54EF">
            <w:pPr>
              <w:widowControl w:val="0"/>
              <w:autoSpaceDE w:val="0"/>
              <w:autoSpaceDN w:val="0"/>
              <w:adjustRightInd w:val="0"/>
              <w:rPr>
                <w:lang w:val="uk-UA"/>
              </w:rPr>
            </w:pPr>
            <w:r>
              <w:rPr>
                <w:lang w:val="uk-UA"/>
              </w:rPr>
              <w:t xml:space="preserve">Громадяни </w:t>
            </w:r>
          </w:p>
        </w:tc>
        <w:tc>
          <w:tcPr>
            <w:tcW w:w="3402" w:type="dxa"/>
            <w:shd w:val="clear" w:color="auto" w:fill="auto"/>
          </w:tcPr>
          <w:p w14:paraId="69D28713" w14:textId="77777777" w:rsidR="00447991" w:rsidRDefault="00FC54EF">
            <w:pPr>
              <w:widowControl w:val="0"/>
              <w:autoSpaceDE w:val="0"/>
              <w:autoSpaceDN w:val="0"/>
              <w:adjustRightInd w:val="0"/>
              <w:jc w:val="center"/>
              <w:rPr>
                <w:lang w:val="uk-UA"/>
              </w:rPr>
            </w:pPr>
            <w:r>
              <w:rPr>
                <w:lang w:val="uk-UA"/>
              </w:rPr>
              <w:t xml:space="preserve">+ </w:t>
            </w:r>
          </w:p>
        </w:tc>
        <w:tc>
          <w:tcPr>
            <w:tcW w:w="3544" w:type="dxa"/>
            <w:shd w:val="clear" w:color="auto" w:fill="auto"/>
          </w:tcPr>
          <w:p w14:paraId="4C94D040" w14:textId="77777777" w:rsidR="00447991" w:rsidRDefault="00FC54EF">
            <w:pPr>
              <w:widowControl w:val="0"/>
              <w:autoSpaceDE w:val="0"/>
              <w:autoSpaceDN w:val="0"/>
              <w:adjustRightInd w:val="0"/>
              <w:jc w:val="center"/>
              <w:rPr>
                <w:lang w:val="uk-UA"/>
              </w:rPr>
            </w:pPr>
            <w:r>
              <w:rPr>
                <w:rFonts w:ascii="Symbol" w:eastAsia="Symbol" w:hAnsi="Symbol" w:cs="Symbol"/>
                <w:bCs/>
                <w:bdr w:val="none" w:sz="0" w:space="0" w:color="auto" w:frame="1"/>
                <w:lang w:val="uk-UA" w:eastAsia="uk-UA"/>
              </w:rPr>
              <w:t></w:t>
            </w:r>
          </w:p>
        </w:tc>
      </w:tr>
      <w:tr w:rsidR="00447991" w14:paraId="0E3893AB" w14:textId="77777777">
        <w:trPr>
          <w:cantSplit/>
        </w:trPr>
        <w:tc>
          <w:tcPr>
            <w:tcW w:w="2268" w:type="dxa"/>
            <w:shd w:val="clear" w:color="auto" w:fill="auto"/>
          </w:tcPr>
          <w:p w14:paraId="7364F80B" w14:textId="77777777" w:rsidR="00447991" w:rsidRDefault="00FC54EF">
            <w:pPr>
              <w:widowControl w:val="0"/>
              <w:autoSpaceDE w:val="0"/>
              <w:autoSpaceDN w:val="0"/>
              <w:adjustRightInd w:val="0"/>
              <w:rPr>
                <w:lang w:val="uk-UA"/>
              </w:rPr>
            </w:pPr>
            <w:r>
              <w:rPr>
                <w:lang w:val="uk-UA"/>
              </w:rPr>
              <w:t>Держава</w:t>
            </w:r>
          </w:p>
        </w:tc>
        <w:tc>
          <w:tcPr>
            <w:tcW w:w="3402" w:type="dxa"/>
            <w:shd w:val="clear" w:color="auto" w:fill="auto"/>
          </w:tcPr>
          <w:p w14:paraId="038CC266" w14:textId="77777777" w:rsidR="00447991" w:rsidRDefault="00FC54EF">
            <w:pPr>
              <w:pStyle w:val="21"/>
              <w:spacing w:after="0" w:line="240" w:lineRule="auto"/>
              <w:ind w:left="0" w:firstLine="0"/>
              <w:jc w:val="center"/>
              <w:rPr>
                <w:rFonts w:eastAsia="Times New Roman"/>
                <w:bCs/>
                <w:szCs w:val="24"/>
                <w:bdr w:val="none" w:sz="0" w:space="0" w:color="auto" w:frame="1"/>
                <w:lang w:eastAsia="uk-UA"/>
              </w:rPr>
            </w:pPr>
            <w:r>
              <w:rPr>
                <w:rFonts w:eastAsia="Times New Roman"/>
                <w:szCs w:val="24"/>
                <w:lang w:eastAsia="ru-RU"/>
              </w:rPr>
              <w:t>+</w:t>
            </w:r>
          </w:p>
        </w:tc>
        <w:tc>
          <w:tcPr>
            <w:tcW w:w="3544" w:type="dxa"/>
            <w:shd w:val="clear" w:color="auto" w:fill="auto"/>
          </w:tcPr>
          <w:p w14:paraId="4A0A7508" w14:textId="77777777" w:rsidR="00447991" w:rsidRDefault="00FC54EF">
            <w:pPr>
              <w:ind w:firstLine="34"/>
              <w:jc w:val="center"/>
              <w:textAlignment w:val="baseline"/>
              <w:rPr>
                <w:bCs/>
                <w:bdr w:val="none" w:sz="0" w:space="0" w:color="auto" w:frame="1"/>
                <w:lang w:val="uk-UA" w:eastAsia="uk-UA"/>
              </w:rPr>
            </w:pPr>
            <w:r>
              <w:rPr>
                <w:rFonts w:ascii="Symbol" w:eastAsia="Symbol" w:hAnsi="Symbol" w:cs="Symbol"/>
                <w:bCs/>
                <w:bdr w:val="none" w:sz="0" w:space="0" w:color="auto" w:frame="1"/>
                <w:lang w:val="uk-UA" w:eastAsia="uk-UA"/>
              </w:rPr>
              <w:t></w:t>
            </w:r>
          </w:p>
        </w:tc>
      </w:tr>
      <w:tr w:rsidR="00447991" w14:paraId="088A56C9" w14:textId="77777777">
        <w:trPr>
          <w:cantSplit/>
        </w:trPr>
        <w:tc>
          <w:tcPr>
            <w:tcW w:w="2268" w:type="dxa"/>
            <w:shd w:val="clear" w:color="auto" w:fill="auto"/>
          </w:tcPr>
          <w:p w14:paraId="2B85BFD8" w14:textId="77777777" w:rsidR="00447991" w:rsidRDefault="00FC54EF">
            <w:pPr>
              <w:widowControl w:val="0"/>
              <w:autoSpaceDE w:val="0"/>
              <w:autoSpaceDN w:val="0"/>
              <w:adjustRightInd w:val="0"/>
              <w:rPr>
                <w:lang w:val="uk-UA"/>
              </w:rPr>
            </w:pPr>
            <w:r>
              <w:rPr>
                <w:lang w:val="uk-UA"/>
              </w:rPr>
              <w:t>Суб’єкти господарювання</w:t>
            </w:r>
          </w:p>
        </w:tc>
        <w:tc>
          <w:tcPr>
            <w:tcW w:w="3402" w:type="dxa"/>
            <w:shd w:val="clear" w:color="auto" w:fill="auto"/>
          </w:tcPr>
          <w:p w14:paraId="451D8833" w14:textId="77777777" w:rsidR="00447991" w:rsidRDefault="00FC54EF">
            <w:pPr>
              <w:jc w:val="center"/>
              <w:rPr>
                <w:bCs/>
                <w:bdr w:val="none" w:sz="0" w:space="0" w:color="auto" w:frame="1"/>
                <w:lang w:val="uk-UA" w:eastAsia="uk-UA"/>
              </w:rPr>
            </w:pPr>
            <w:r>
              <w:rPr>
                <w:lang w:val="uk-UA"/>
              </w:rPr>
              <w:t>+</w:t>
            </w:r>
          </w:p>
        </w:tc>
        <w:tc>
          <w:tcPr>
            <w:tcW w:w="3544" w:type="dxa"/>
            <w:shd w:val="clear" w:color="auto" w:fill="auto"/>
          </w:tcPr>
          <w:p w14:paraId="18FEF85A" w14:textId="77777777" w:rsidR="00447991" w:rsidRDefault="00FC54EF">
            <w:pPr>
              <w:ind w:firstLine="34"/>
              <w:jc w:val="center"/>
              <w:textAlignment w:val="baseline"/>
              <w:rPr>
                <w:bCs/>
                <w:bdr w:val="none" w:sz="0" w:space="0" w:color="auto" w:frame="1"/>
                <w:lang w:val="uk-UA" w:eastAsia="uk-UA"/>
              </w:rPr>
            </w:pPr>
            <w:r>
              <w:rPr>
                <w:rFonts w:ascii="Symbol" w:eastAsia="Symbol" w:hAnsi="Symbol" w:cs="Symbol"/>
                <w:bCs/>
                <w:bdr w:val="none" w:sz="0" w:space="0" w:color="auto" w:frame="1"/>
                <w:lang w:val="uk-UA" w:eastAsia="uk-UA"/>
              </w:rPr>
              <w:t></w:t>
            </w:r>
          </w:p>
        </w:tc>
      </w:tr>
      <w:tr w:rsidR="00447991" w14:paraId="0446FB94" w14:textId="77777777">
        <w:trPr>
          <w:cantSplit/>
        </w:trPr>
        <w:tc>
          <w:tcPr>
            <w:tcW w:w="2268" w:type="dxa"/>
            <w:shd w:val="clear" w:color="auto" w:fill="auto"/>
          </w:tcPr>
          <w:p w14:paraId="3E301870" w14:textId="77777777" w:rsidR="00447991" w:rsidRDefault="00FC54EF">
            <w:pPr>
              <w:widowControl w:val="0"/>
              <w:autoSpaceDE w:val="0"/>
              <w:autoSpaceDN w:val="0"/>
              <w:adjustRightInd w:val="0"/>
              <w:rPr>
                <w:lang w:val="uk-UA"/>
              </w:rPr>
            </w:pPr>
            <w:r>
              <w:rPr>
                <w:lang w:val="uk-UA"/>
              </w:rPr>
              <w:t>У тому числі суб’єкти малого підприємництва</w:t>
            </w:r>
          </w:p>
        </w:tc>
        <w:tc>
          <w:tcPr>
            <w:tcW w:w="3402" w:type="dxa"/>
            <w:shd w:val="clear" w:color="auto" w:fill="auto"/>
          </w:tcPr>
          <w:p w14:paraId="56265C19" w14:textId="77777777" w:rsidR="00447991" w:rsidRDefault="00FC54EF">
            <w:pPr>
              <w:jc w:val="center"/>
              <w:rPr>
                <w:lang w:val="uk-UA"/>
              </w:rPr>
            </w:pPr>
            <w:r>
              <w:rPr>
                <w:lang w:val="uk-UA"/>
              </w:rPr>
              <w:t>+</w:t>
            </w:r>
          </w:p>
        </w:tc>
        <w:tc>
          <w:tcPr>
            <w:tcW w:w="3544" w:type="dxa"/>
            <w:shd w:val="clear" w:color="auto" w:fill="auto"/>
          </w:tcPr>
          <w:p w14:paraId="18A81C00" w14:textId="77777777" w:rsidR="00447991" w:rsidRDefault="00FC54EF">
            <w:pPr>
              <w:ind w:firstLine="34"/>
              <w:jc w:val="center"/>
              <w:textAlignment w:val="baseline"/>
              <w:rPr>
                <w:bCs/>
                <w:bdr w:val="none" w:sz="0" w:space="0" w:color="auto" w:frame="1"/>
                <w:vertAlign w:val="subscript"/>
                <w:lang w:val="uk-UA" w:eastAsia="uk-UA"/>
              </w:rPr>
            </w:pPr>
            <w:r>
              <w:rPr>
                <w:rFonts w:ascii="Symbol" w:eastAsia="Symbol" w:hAnsi="Symbol" w:cs="Symbol"/>
                <w:bCs/>
                <w:bdr w:val="none" w:sz="0" w:space="0" w:color="auto" w:frame="1"/>
                <w:lang w:val="uk-UA" w:eastAsia="uk-UA"/>
              </w:rPr>
              <w:t></w:t>
            </w:r>
          </w:p>
        </w:tc>
      </w:tr>
    </w:tbl>
    <w:p w14:paraId="322E0C7F" w14:textId="77777777" w:rsidR="00447991" w:rsidRDefault="00447991">
      <w:pPr>
        <w:shd w:val="clear" w:color="auto" w:fill="FFFFFF"/>
        <w:ind w:firstLine="567"/>
        <w:textAlignment w:val="baseline"/>
        <w:rPr>
          <w:bCs/>
          <w:sz w:val="28"/>
          <w:szCs w:val="28"/>
          <w:bdr w:val="none" w:sz="0" w:space="0" w:color="auto" w:frame="1"/>
          <w:lang w:val="uk-UA" w:eastAsia="uk-UA"/>
        </w:rPr>
      </w:pPr>
    </w:p>
    <w:p w14:paraId="2BA232AA" w14:textId="6CF20506" w:rsidR="00447991" w:rsidRDefault="00FC54EF">
      <w:pPr>
        <w:ind w:firstLine="567"/>
        <w:contextualSpacing/>
        <w:jc w:val="both"/>
        <w:rPr>
          <w:sz w:val="27"/>
          <w:szCs w:val="27"/>
          <w:lang w:val="uk-UA"/>
        </w:rPr>
      </w:pPr>
      <w:r>
        <w:rPr>
          <w:sz w:val="27"/>
          <w:szCs w:val="27"/>
          <w:lang w:val="uk-UA"/>
        </w:rPr>
        <w:t xml:space="preserve">Проблема, яку пропонується врегулювати в результаті прийняття регуляторного </w:t>
      </w:r>
      <w:proofErr w:type="spellStart"/>
      <w:r>
        <w:rPr>
          <w:sz w:val="27"/>
          <w:szCs w:val="27"/>
          <w:lang w:val="uk-UA"/>
        </w:rPr>
        <w:t>акта</w:t>
      </w:r>
      <w:proofErr w:type="spellEnd"/>
      <w:r>
        <w:rPr>
          <w:sz w:val="27"/>
          <w:szCs w:val="27"/>
          <w:lang w:val="uk-UA"/>
        </w:rPr>
        <w:t xml:space="preserve">, є важливою та належить безпосередньо до компетенції органів державної влади, і не може бути розв’язана за допомогою ринкових механізмів, оскільки потребує нормативного врегулювання. </w:t>
      </w:r>
      <w:proofErr w:type="spellStart"/>
      <w:r>
        <w:rPr>
          <w:sz w:val="27"/>
          <w:szCs w:val="27"/>
          <w:lang w:val="uk-UA"/>
        </w:rPr>
        <w:t>Проєктом</w:t>
      </w:r>
      <w:proofErr w:type="spellEnd"/>
      <w:r>
        <w:rPr>
          <w:sz w:val="27"/>
          <w:szCs w:val="27"/>
          <w:lang w:val="uk-UA"/>
        </w:rPr>
        <w:t xml:space="preserve"> постанови Кабінету Міністрів України пропонується </w:t>
      </w:r>
      <w:proofErr w:type="spellStart"/>
      <w:r>
        <w:rPr>
          <w:sz w:val="27"/>
          <w:szCs w:val="27"/>
          <w:lang w:val="uk-UA"/>
        </w:rPr>
        <w:t>внести</w:t>
      </w:r>
      <w:proofErr w:type="spellEnd"/>
      <w:r>
        <w:rPr>
          <w:sz w:val="27"/>
          <w:szCs w:val="27"/>
          <w:lang w:val="uk-UA"/>
        </w:rPr>
        <w:t xml:space="preserve"> зміни до постанови Кабінету Міністрів України від 27 грудня 2018 р</w:t>
      </w:r>
      <w:r w:rsidR="00EB1BC9">
        <w:rPr>
          <w:sz w:val="27"/>
          <w:szCs w:val="27"/>
          <w:lang w:val="uk-UA"/>
        </w:rPr>
        <w:t>оку</w:t>
      </w:r>
      <w:r>
        <w:rPr>
          <w:sz w:val="27"/>
          <w:szCs w:val="27"/>
          <w:lang w:val="uk-UA"/>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w:t>
      </w:r>
    </w:p>
    <w:p w14:paraId="087E6506" w14:textId="77777777" w:rsidR="00447991" w:rsidRDefault="00447991">
      <w:pPr>
        <w:contextualSpacing/>
        <w:jc w:val="both"/>
        <w:rPr>
          <w:spacing w:val="-4"/>
          <w:sz w:val="27"/>
          <w:szCs w:val="27"/>
          <w:lang w:val="uk-UA"/>
        </w:rPr>
      </w:pPr>
    </w:p>
    <w:p w14:paraId="73F652AB" w14:textId="77777777" w:rsidR="00447991" w:rsidRDefault="00FC54EF">
      <w:pPr>
        <w:ind w:right="204" w:firstLine="567"/>
        <w:jc w:val="center"/>
        <w:rPr>
          <w:b/>
          <w:sz w:val="27"/>
          <w:szCs w:val="27"/>
          <w:lang w:val="uk-UA"/>
        </w:rPr>
      </w:pPr>
      <w:r>
        <w:rPr>
          <w:b/>
          <w:spacing w:val="-4"/>
          <w:sz w:val="27"/>
          <w:szCs w:val="27"/>
          <w:lang w:val="uk-UA"/>
        </w:rPr>
        <w:t xml:space="preserve">ІІ. </w:t>
      </w:r>
      <w:r>
        <w:rPr>
          <w:b/>
          <w:sz w:val="27"/>
          <w:szCs w:val="27"/>
          <w:lang w:val="uk-UA"/>
        </w:rPr>
        <w:t>Цілі державного регулювання</w:t>
      </w:r>
    </w:p>
    <w:p w14:paraId="4BCE72DD" w14:textId="77777777" w:rsidR="00447991" w:rsidRDefault="00447991">
      <w:pPr>
        <w:contextualSpacing/>
        <w:jc w:val="both"/>
        <w:rPr>
          <w:b/>
          <w:sz w:val="27"/>
          <w:szCs w:val="27"/>
          <w:lang w:val="uk-UA"/>
        </w:rPr>
      </w:pPr>
    </w:p>
    <w:p w14:paraId="4A197528" w14:textId="77777777" w:rsidR="00447991" w:rsidRDefault="00FC54EF">
      <w:pPr>
        <w:ind w:firstLine="708"/>
        <w:contextualSpacing/>
        <w:jc w:val="both"/>
        <w:rPr>
          <w:sz w:val="27"/>
          <w:szCs w:val="27"/>
          <w:lang w:val="uk-UA"/>
        </w:rPr>
      </w:pPr>
      <w:r>
        <w:rPr>
          <w:sz w:val="27"/>
          <w:szCs w:val="27"/>
          <w:lang w:val="uk-UA"/>
        </w:rPr>
        <w:t>Цілями державного регулювання є:</w:t>
      </w:r>
    </w:p>
    <w:p w14:paraId="4DB05673" w14:textId="77777777" w:rsidR="00447991" w:rsidRDefault="00FC54EF">
      <w:pPr>
        <w:ind w:firstLine="708"/>
        <w:contextualSpacing/>
        <w:jc w:val="both"/>
        <w:rPr>
          <w:sz w:val="27"/>
          <w:szCs w:val="27"/>
          <w:lang w:val="uk-UA"/>
        </w:rPr>
      </w:pPr>
      <w:r>
        <w:rPr>
          <w:sz w:val="27"/>
          <w:szCs w:val="27"/>
          <w:lang w:val="uk-UA"/>
        </w:rPr>
        <w:t>спрощення процедури отримання статусу захищеного споживача суб’єктами господарювання, які забезпечують життєдіяльність населення, застосування до об’єктів таких споживачів процедури безпечного відключення, яка дозволить уникнути виникнення надзвичайних ситуацій техногенного характеру у разі припинення/обмеження електропостачання;</w:t>
      </w:r>
    </w:p>
    <w:p w14:paraId="00F1483B" w14:textId="77777777" w:rsidR="00447991" w:rsidRDefault="00FC54EF">
      <w:pPr>
        <w:ind w:firstLine="708"/>
        <w:contextualSpacing/>
        <w:jc w:val="both"/>
        <w:rPr>
          <w:sz w:val="27"/>
          <w:szCs w:val="27"/>
          <w:lang w:val="uk-UA"/>
        </w:rPr>
      </w:pPr>
      <w:r>
        <w:rPr>
          <w:sz w:val="27"/>
          <w:szCs w:val="27"/>
          <w:lang w:val="uk-UA"/>
        </w:rPr>
        <w:t xml:space="preserve">недопущення накопичення заборгованості на ринку електричної енергії шляхом запровадження механізму забезпечення оплати спожитої електричної енергії та наданих послуг захищеними споживачами. </w:t>
      </w:r>
    </w:p>
    <w:p w14:paraId="5DD53F3C" w14:textId="77777777" w:rsidR="00EB1BC9" w:rsidRDefault="00EB1BC9">
      <w:pPr>
        <w:ind w:firstLine="708"/>
        <w:contextualSpacing/>
        <w:jc w:val="both"/>
        <w:rPr>
          <w:sz w:val="27"/>
          <w:szCs w:val="27"/>
          <w:lang w:val="uk-UA"/>
        </w:rPr>
      </w:pPr>
    </w:p>
    <w:p w14:paraId="04BC71FE" w14:textId="77777777" w:rsidR="003F6FE4" w:rsidRDefault="003F6FE4">
      <w:pPr>
        <w:ind w:firstLine="708"/>
        <w:contextualSpacing/>
        <w:jc w:val="both"/>
        <w:rPr>
          <w:sz w:val="27"/>
          <w:szCs w:val="27"/>
          <w:lang w:val="uk-UA"/>
        </w:rPr>
      </w:pPr>
    </w:p>
    <w:p w14:paraId="436CB9BA" w14:textId="77777777" w:rsidR="00447991" w:rsidRDefault="00FC54EF">
      <w:pPr>
        <w:ind w:right="203" w:firstLine="567"/>
        <w:jc w:val="center"/>
        <w:rPr>
          <w:b/>
          <w:sz w:val="27"/>
          <w:szCs w:val="27"/>
          <w:lang w:val="uk-UA"/>
        </w:rPr>
      </w:pPr>
      <w:r>
        <w:rPr>
          <w:b/>
          <w:sz w:val="27"/>
          <w:szCs w:val="27"/>
          <w:lang w:val="uk-UA"/>
        </w:rPr>
        <w:lastRenderedPageBreak/>
        <w:t>ІІІ. Визначення та оцінка альтернативних способів досягнення цілей</w:t>
      </w:r>
    </w:p>
    <w:p w14:paraId="3D1DFA8D" w14:textId="77777777" w:rsidR="00447991" w:rsidRDefault="00447991">
      <w:pPr>
        <w:ind w:left="567" w:right="203"/>
        <w:rPr>
          <w:b/>
          <w:sz w:val="27"/>
          <w:szCs w:val="27"/>
          <w:lang w:val="uk-UA"/>
        </w:rPr>
      </w:pPr>
    </w:p>
    <w:p w14:paraId="4221BA54" w14:textId="77777777" w:rsidR="00447991" w:rsidRDefault="00FC54EF">
      <w:pPr>
        <w:numPr>
          <w:ilvl w:val="1"/>
          <w:numId w:val="8"/>
        </w:numPr>
        <w:ind w:right="203" w:hanging="1222"/>
        <w:rPr>
          <w:b/>
          <w:sz w:val="27"/>
          <w:szCs w:val="27"/>
          <w:lang w:val="uk-UA"/>
        </w:rPr>
      </w:pPr>
      <w:r>
        <w:rPr>
          <w:b/>
          <w:bCs/>
          <w:sz w:val="27"/>
          <w:szCs w:val="27"/>
          <w:lang w:val="uk-UA"/>
        </w:rPr>
        <w:t>Визначення альтернативних способів</w:t>
      </w:r>
    </w:p>
    <w:p w14:paraId="22F610D1" w14:textId="77777777" w:rsidR="00447991" w:rsidRDefault="00447991">
      <w:pPr>
        <w:ind w:right="203"/>
        <w:rPr>
          <w:b/>
          <w:sz w:val="27"/>
          <w:szCs w:val="27"/>
          <w:lang w:val="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1"/>
      </w:tblGrid>
      <w:tr w:rsidR="00447991" w14:paraId="685BD682" w14:textId="77777777">
        <w:trPr>
          <w:cantSplit/>
        </w:trPr>
        <w:tc>
          <w:tcPr>
            <w:tcW w:w="4536" w:type="dxa"/>
            <w:shd w:val="clear" w:color="auto" w:fill="auto"/>
            <w:vAlign w:val="center"/>
          </w:tcPr>
          <w:p w14:paraId="54EFF5C5" w14:textId="77777777" w:rsidR="00447991" w:rsidRDefault="00FC54EF">
            <w:pPr>
              <w:widowControl w:val="0"/>
              <w:autoSpaceDE w:val="0"/>
              <w:autoSpaceDN w:val="0"/>
              <w:adjustRightInd w:val="0"/>
              <w:ind w:left="200"/>
              <w:jc w:val="center"/>
              <w:rPr>
                <w:lang w:val="uk-UA"/>
              </w:rPr>
            </w:pPr>
            <w:r>
              <w:rPr>
                <w:b/>
                <w:bCs/>
                <w:lang w:val="uk-UA"/>
              </w:rPr>
              <w:t>Вид альтернативи</w:t>
            </w:r>
          </w:p>
        </w:tc>
        <w:tc>
          <w:tcPr>
            <w:tcW w:w="4961" w:type="dxa"/>
            <w:shd w:val="clear" w:color="auto" w:fill="auto"/>
            <w:vAlign w:val="center"/>
          </w:tcPr>
          <w:p w14:paraId="14B46A39" w14:textId="77777777" w:rsidR="00447991" w:rsidRDefault="00FC54EF">
            <w:pPr>
              <w:widowControl w:val="0"/>
              <w:autoSpaceDE w:val="0"/>
              <w:autoSpaceDN w:val="0"/>
              <w:adjustRightInd w:val="0"/>
              <w:jc w:val="center"/>
              <w:rPr>
                <w:lang w:val="uk-UA"/>
              </w:rPr>
            </w:pPr>
            <w:r>
              <w:rPr>
                <w:b/>
                <w:bCs/>
                <w:lang w:val="uk-UA"/>
              </w:rPr>
              <w:t>Опис альтернативи</w:t>
            </w:r>
          </w:p>
        </w:tc>
      </w:tr>
      <w:tr w:rsidR="00447991" w14:paraId="26CE071C" w14:textId="77777777">
        <w:tc>
          <w:tcPr>
            <w:tcW w:w="4536" w:type="dxa"/>
            <w:shd w:val="clear" w:color="auto" w:fill="auto"/>
          </w:tcPr>
          <w:p w14:paraId="26413635" w14:textId="77777777" w:rsidR="00447991" w:rsidRDefault="00FC54EF">
            <w:pPr>
              <w:jc w:val="both"/>
              <w:textAlignment w:val="baseline"/>
              <w:rPr>
                <w:lang w:val="uk-UA"/>
              </w:rPr>
            </w:pPr>
            <w:r>
              <w:rPr>
                <w:lang w:val="uk-UA"/>
              </w:rPr>
              <w:t>Альтернатива 1.</w:t>
            </w:r>
          </w:p>
          <w:p w14:paraId="2EC96832" w14:textId="77777777" w:rsidR="00447991" w:rsidRDefault="00FC54EF">
            <w:pPr>
              <w:jc w:val="both"/>
              <w:textAlignment w:val="baseline"/>
              <w:rPr>
                <w:lang w:val="uk-UA"/>
              </w:rPr>
            </w:pPr>
            <w:r>
              <w:rPr>
                <w:lang w:val="uk-UA"/>
              </w:rPr>
              <w:t xml:space="preserve">Прийняття </w:t>
            </w:r>
            <w:proofErr w:type="spellStart"/>
            <w:r>
              <w:rPr>
                <w:bCs/>
                <w:lang w:val="uk-UA"/>
              </w:rPr>
              <w:t>проєкту</w:t>
            </w:r>
            <w:proofErr w:type="spellEnd"/>
            <w:r>
              <w:rPr>
                <w:bCs/>
                <w:lang w:val="uk-UA"/>
              </w:rPr>
              <w:t xml:space="preserve"> постанови </w:t>
            </w:r>
          </w:p>
        </w:tc>
        <w:tc>
          <w:tcPr>
            <w:tcW w:w="4961" w:type="dxa"/>
            <w:shd w:val="clear" w:color="auto" w:fill="auto"/>
          </w:tcPr>
          <w:p w14:paraId="7FAF10F0" w14:textId="77777777" w:rsidR="00447991" w:rsidRDefault="00FC54EF">
            <w:pPr>
              <w:ind w:right="204"/>
              <w:jc w:val="both"/>
              <w:rPr>
                <w:lang w:val="uk-UA" w:eastAsia="uk-UA"/>
              </w:rPr>
            </w:pPr>
            <w:r>
              <w:rPr>
                <w:lang w:val="uk-UA"/>
              </w:rPr>
              <w:t xml:space="preserve">Спрощення та упорядкування механізму визначення захищених споживачів. </w:t>
            </w:r>
          </w:p>
          <w:p w14:paraId="7A29D207" w14:textId="77777777" w:rsidR="00447991" w:rsidRDefault="00FC54EF">
            <w:pPr>
              <w:ind w:right="204"/>
              <w:jc w:val="both"/>
              <w:rPr>
                <w:lang w:val="uk-UA" w:eastAsia="uk-UA"/>
              </w:rPr>
            </w:pPr>
            <w:r>
              <w:rPr>
                <w:lang w:val="uk-UA" w:eastAsia="uk-UA"/>
              </w:rPr>
              <w:t xml:space="preserve"> </w:t>
            </w:r>
          </w:p>
          <w:p w14:paraId="7B848ACE" w14:textId="7A835063" w:rsidR="00447991" w:rsidRDefault="00447991">
            <w:pPr>
              <w:ind w:right="204"/>
              <w:jc w:val="both"/>
              <w:rPr>
                <w:lang w:val="uk-UA" w:eastAsia="uk-UA"/>
              </w:rPr>
            </w:pPr>
          </w:p>
        </w:tc>
      </w:tr>
      <w:tr w:rsidR="00447991" w14:paraId="601252C0" w14:textId="77777777">
        <w:trPr>
          <w:cantSplit/>
        </w:trPr>
        <w:tc>
          <w:tcPr>
            <w:tcW w:w="4536" w:type="dxa"/>
            <w:shd w:val="clear" w:color="auto" w:fill="auto"/>
          </w:tcPr>
          <w:p w14:paraId="48F383D4" w14:textId="77777777" w:rsidR="00447991" w:rsidRDefault="00FC54EF">
            <w:pPr>
              <w:textAlignment w:val="baseline"/>
              <w:rPr>
                <w:lang w:val="uk-UA"/>
              </w:rPr>
            </w:pPr>
            <w:r>
              <w:rPr>
                <w:lang w:val="uk-UA"/>
              </w:rPr>
              <w:t>Альтернатива 2.</w:t>
            </w:r>
          </w:p>
          <w:p w14:paraId="411540DF" w14:textId="77777777" w:rsidR="00447991" w:rsidRDefault="00FC54EF">
            <w:pPr>
              <w:ind w:right="203"/>
              <w:rPr>
                <w:b/>
                <w:lang w:val="uk-UA"/>
              </w:rPr>
            </w:pPr>
            <w:r>
              <w:rPr>
                <w:lang w:val="uk-UA"/>
              </w:rPr>
              <w:t>Залишення існуючої ситуації без змін</w:t>
            </w:r>
          </w:p>
        </w:tc>
        <w:tc>
          <w:tcPr>
            <w:tcW w:w="4961" w:type="dxa"/>
            <w:shd w:val="clear" w:color="auto" w:fill="auto"/>
          </w:tcPr>
          <w:p w14:paraId="67667138" w14:textId="77777777" w:rsidR="00447991" w:rsidRDefault="00FC54EF">
            <w:pPr>
              <w:ind w:right="33"/>
              <w:jc w:val="both"/>
              <w:rPr>
                <w:lang w:val="uk-UA"/>
              </w:rPr>
            </w:pPr>
            <w:r>
              <w:rPr>
                <w:lang w:val="uk-UA"/>
              </w:rPr>
              <w:t xml:space="preserve">Залишення чинного механізму визначення захищених споживачів діючим, що ускладнить визначення їх переліку.   </w:t>
            </w:r>
          </w:p>
        </w:tc>
      </w:tr>
    </w:tbl>
    <w:p w14:paraId="39FD6EAF" w14:textId="77777777" w:rsidR="00447991" w:rsidRDefault="00447991">
      <w:pPr>
        <w:ind w:right="203"/>
        <w:rPr>
          <w:b/>
          <w:bCs/>
          <w:sz w:val="27"/>
          <w:szCs w:val="27"/>
          <w:lang w:val="uk-UA"/>
        </w:rPr>
      </w:pPr>
    </w:p>
    <w:p w14:paraId="4A8C0EBC" w14:textId="77777777" w:rsidR="00447991" w:rsidRDefault="00FC54EF">
      <w:pPr>
        <w:numPr>
          <w:ilvl w:val="1"/>
          <w:numId w:val="8"/>
        </w:numPr>
        <w:ind w:left="0" w:right="203" w:firstLine="567"/>
        <w:rPr>
          <w:b/>
          <w:bCs/>
          <w:sz w:val="27"/>
          <w:szCs w:val="27"/>
          <w:lang w:val="uk-UA"/>
        </w:rPr>
      </w:pPr>
      <w:r>
        <w:rPr>
          <w:b/>
          <w:bCs/>
          <w:sz w:val="27"/>
          <w:szCs w:val="27"/>
          <w:lang w:val="uk-UA"/>
        </w:rPr>
        <w:t>Оцінка вибраних альтернативних способів досягнення цілей</w:t>
      </w:r>
    </w:p>
    <w:p w14:paraId="7A1E0FFF" w14:textId="77777777" w:rsidR="00447991" w:rsidRDefault="00447991">
      <w:pPr>
        <w:ind w:right="178" w:firstLine="770"/>
        <w:jc w:val="both"/>
        <w:rPr>
          <w:sz w:val="27"/>
          <w:szCs w:val="27"/>
          <w:lang w:val="uk-UA"/>
        </w:rPr>
      </w:pPr>
    </w:p>
    <w:p w14:paraId="6E589156" w14:textId="77777777" w:rsidR="00447991" w:rsidRDefault="00FC54EF">
      <w:pPr>
        <w:tabs>
          <w:tab w:val="left" w:pos="1701"/>
        </w:tabs>
        <w:ind w:right="203" w:firstLine="567"/>
        <w:jc w:val="both"/>
        <w:rPr>
          <w:b/>
          <w:sz w:val="27"/>
          <w:szCs w:val="27"/>
          <w:lang w:val="uk-UA"/>
        </w:rPr>
      </w:pPr>
      <w:r>
        <w:rPr>
          <w:b/>
          <w:sz w:val="27"/>
          <w:szCs w:val="27"/>
          <w:lang w:val="uk-UA"/>
        </w:rPr>
        <w:t>Оцінка впливу на сферу інтересів держави</w:t>
      </w:r>
    </w:p>
    <w:p w14:paraId="56CC7911" w14:textId="77777777" w:rsidR="00447991" w:rsidRDefault="00447991">
      <w:pPr>
        <w:tabs>
          <w:tab w:val="left" w:pos="1701"/>
        </w:tabs>
        <w:ind w:right="203" w:firstLine="567"/>
        <w:jc w:val="both"/>
        <w:rPr>
          <w:b/>
          <w:sz w:val="27"/>
          <w:szCs w:val="27"/>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959"/>
        <w:gridCol w:w="2835"/>
      </w:tblGrid>
      <w:tr w:rsidR="00447991" w14:paraId="31FFAE96" w14:textId="77777777">
        <w:tc>
          <w:tcPr>
            <w:tcW w:w="2732" w:type="dxa"/>
            <w:shd w:val="clear" w:color="auto" w:fill="auto"/>
            <w:vAlign w:val="center"/>
          </w:tcPr>
          <w:p w14:paraId="7D4D5F82" w14:textId="77777777" w:rsidR="00447991" w:rsidRDefault="00FC54EF">
            <w:pPr>
              <w:jc w:val="center"/>
              <w:textAlignment w:val="baseline"/>
              <w:rPr>
                <w:b/>
                <w:lang w:val="uk-UA" w:eastAsia="uk-UA"/>
              </w:rPr>
            </w:pPr>
            <w:r>
              <w:rPr>
                <w:b/>
                <w:lang w:val="uk-UA" w:eastAsia="uk-UA"/>
              </w:rPr>
              <w:t>Вид альтернативи</w:t>
            </w:r>
          </w:p>
        </w:tc>
        <w:tc>
          <w:tcPr>
            <w:tcW w:w="3959" w:type="dxa"/>
            <w:shd w:val="clear" w:color="auto" w:fill="auto"/>
            <w:vAlign w:val="center"/>
          </w:tcPr>
          <w:p w14:paraId="1C55F25E" w14:textId="77777777" w:rsidR="00447991" w:rsidRDefault="00FC54EF">
            <w:pPr>
              <w:ind w:hanging="5"/>
              <w:jc w:val="center"/>
              <w:textAlignment w:val="baseline"/>
              <w:rPr>
                <w:b/>
                <w:lang w:val="uk-UA" w:eastAsia="uk-UA"/>
              </w:rPr>
            </w:pPr>
            <w:r>
              <w:rPr>
                <w:b/>
                <w:lang w:val="uk-UA" w:eastAsia="uk-UA"/>
              </w:rPr>
              <w:t>Вигоди</w:t>
            </w:r>
          </w:p>
        </w:tc>
        <w:tc>
          <w:tcPr>
            <w:tcW w:w="2835" w:type="dxa"/>
            <w:shd w:val="clear" w:color="auto" w:fill="auto"/>
            <w:vAlign w:val="center"/>
          </w:tcPr>
          <w:p w14:paraId="283FC89B" w14:textId="77777777" w:rsidR="00447991" w:rsidRDefault="00FC54EF">
            <w:pPr>
              <w:jc w:val="center"/>
              <w:textAlignment w:val="baseline"/>
              <w:rPr>
                <w:b/>
                <w:lang w:val="uk-UA" w:eastAsia="uk-UA"/>
              </w:rPr>
            </w:pPr>
            <w:r>
              <w:rPr>
                <w:b/>
                <w:lang w:val="uk-UA" w:eastAsia="uk-UA"/>
              </w:rPr>
              <w:t xml:space="preserve">Витрати </w:t>
            </w:r>
          </w:p>
        </w:tc>
      </w:tr>
      <w:tr w:rsidR="00447991" w14:paraId="4ED7EDEF" w14:textId="77777777">
        <w:trPr>
          <w:trHeight w:val="1012"/>
        </w:trPr>
        <w:tc>
          <w:tcPr>
            <w:tcW w:w="2732" w:type="dxa"/>
            <w:shd w:val="clear" w:color="auto" w:fill="auto"/>
          </w:tcPr>
          <w:p w14:paraId="38D986E3" w14:textId="77777777" w:rsidR="00447991" w:rsidRDefault="00FC54EF">
            <w:pPr>
              <w:textAlignment w:val="baseline"/>
              <w:rPr>
                <w:lang w:val="uk-UA"/>
              </w:rPr>
            </w:pPr>
            <w:r>
              <w:rPr>
                <w:lang w:val="uk-UA"/>
              </w:rPr>
              <w:t xml:space="preserve">Прийняття </w:t>
            </w:r>
            <w:proofErr w:type="spellStart"/>
            <w:r>
              <w:rPr>
                <w:bCs/>
                <w:lang w:val="uk-UA"/>
              </w:rPr>
              <w:t>проєкту</w:t>
            </w:r>
            <w:proofErr w:type="spellEnd"/>
            <w:r>
              <w:rPr>
                <w:bCs/>
                <w:lang w:val="uk-UA"/>
              </w:rPr>
              <w:t xml:space="preserve">  постанови </w:t>
            </w:r>
          </w:p>
        </w:tc>
        <w:tc>
          <w:tcPr>
            <w:tcW w:w="3959" w:type="dxa"/>
            <w:shd w:val="clear" w:color="auto" w:fill="auto"/>
          </w:tcPr>
          <w:p w14:paraId="0C187681" w14:textId="77777777" w:rsidR="00447991" w:rsidRDefault="00FC54EF">
            <w:pPr>
              <w:pStyle w:val="af0"/>
              <w:spacing w:after="0"/>
              <w:ind w:left="0"/>
              <w:jc w:val="both"/>
              <w:rPr>
                <w:lang w:val="uk-UA"/>
              </w:rPr>
            </w:pPr>
            <w:r>
              <w:rPr>
                <w:lang w:val="uk-UA"/>
              </w:rPr>
              <w:t xml:space="preserve">Убезпечення техногенних катастроф, уповільнення зростання заборгованості на ринку електричної енергії. </w:t>
            </w:r>
          </w:p>
        </w:tc>
        <w:tc>
          <w:tcPr>
            <w:tcW w:w="2835" w:type="dxa"/>
            <w:shd w:val="clear" w:color="auto" w:fill="auto"/>
          </w:tcPr>
          <w:p w14:paraId="2186E3A5" w14:textId="77777777" w:rsidR="00447991" w:rsidRDefault="00FC54EF">
            <w:pPr>
              <w:pStyle w:val="af0"/>
              <w:spacing w:after="0"/>
              <w:ind w:left="0"/>
              <w:jc w:val="both"/>
              <w:rPr>
                <w:lang w:val="uk-UA" w:eastAsia="uk-UA"/>
              </w:rPr>
            </w:pPr>
            <w:r>
              <w:rPr>
                <w:lang w:val="uk-UA"/>
              </w:rPr>
              <w:t>Адміністрування процесу включення суб’єктів господарювання до переліку захищених споживачів</w:t>
            </w:r>
          </w:p>
        </w:tc>
      </w:tr>
      <w:tr w:rsidR="00447991" w:rsidRPr="00853BD5" w14:paraId="3D6E3155" w14:textId="77777777">
        <w:tc>
          <w:tcPr>
            <w:tcW w:w="2732" w:type="dxa"/>
            <w:shd w:val="clear" w:color="auto" w:fill="auto"/>
          </w:tcPr>
          <w:p w14:paraId="4CCFBE1E" w14:textId="77777777" w:rsidR="00447991" w:rsidRDefault="00FC54EF">
            <w:pPr>
              <w:textAlignment w:val="baseline"/>
              <w:rPr>
                <w:lang w:val="uk-UA"/>
              </w:rPr>
            </w:pPr>
            <w:r>
              <w:rPr>
                <w:lang w:val="uk-UA"/>
              </w:rPr>
              <w:t>Залишення існуючої ситуації без змін</w:t>
            </w:r>
          </w:p>
          <w:p w14:paraId="58BD6C00" w14:textId="77777777" w:rsidR="00447991" w:rsidRDefault="00447991">
            <w:pPr>
              <w:textAlignment w:val="baseline"/>
              <w:rPr>
                <w:lang w:val="uk-UA"/>
              </w:rPr>
            </w:pPr>
          </w:p>
        </w:tc>
        <w:tc>
          <w:tcPr>
            <w:tcW w:w="3959" w:type="dxa"/>
            <w:shd w:val="clear" w:color="auto" w:fill="auto"/>
          </w:tcPr>
          <w:p w14:paraId="75E51370" w14:textId="77777777" w:rsidR="00447991" w:rsidRDefault="00FC54EF">
            <w:pPr>
              <w:ind w:hanging="5"/>
              <w:textAlignment w:val="baseline"/>
              <w:rPr>
                <w:bCs/>
                <w:spacing w:val="-4"/>
                <w:lang w:val="uk-UA"/>
              </w:rPr>
            </w:pPr>
            <w:r>
              <w:rPr>
                <w:lang w:val="uk-UA" w:eastAsia="uk-UA"/>
              </w:rPr>
              <w:t>Відсутні, оскільки проблема залишається невирішеною</w:t>
            </w:r>
          </w:p>
        </w:tc>
        <w:tc>
          <w:tcPr>
            <w:tcW w:w="2835" w:type="dxa"/>
            <w:shd w:val="clear" w:color="auto" w:fill="auto"/>
          </w:tcPr>
          <w:p w14:paraId="7027AEEA" w14:textId="77777777" w:rsidR="00447991" w:rsidRDefault="00FC54EF">
            <w:pPr>
              <w:shd w:val="clear" w:color="auto" w:fill="FFFFFF"/>
              <w:jc w:val="both"/>
              <w:rPr>
                <w:spacing w:val="-4"/>
                <w:lang w:val="uk-UA" w:eastAsia="uk-UA"/>
              </w:rPr>
            </w:pPr>
            <w:r>
              <w:rPr>
                <w:lang w:val="uk-UA"/>
              </w:rPr>
              <w:t xml:space="preserve">Подальше накопичення заборгованості на ринку електричної енергії, виникнення загрози щодо </w:t>
            </w:r>
            <w:r>
              <w:rPr>
                <w:spacing w:val="-4"/>
                <w:lang w:val="uk-UA" w:eastAsia="uk-UA"/>
              </w:rPr>
              <w:t>забезпечення безпеки постачання електричної енергії   критично важливим галузям економіки  держави</w:t>
            </w:r>
          </w:p>
        </w:tc>
      </w:tr>
    </w:tbl>
    <w:p w14:paraId="47675A21" w14:textId="77777777" w:rsidR="00447991" w:rsidRDefault="00447991">
      <w:pPr>
        <w:tabs>
          <w:tab w:val="left" w:pos="1701"/>
        </w:tabs>
        <w:ind w:right="203"/>
        <w:jc w:val="both"/>
        <w:rPr>
          <w:b/>
          <w:sz w:val="27"/>
          <w:szCs w:val="27"/>
          <w:lang w:val="uk-UA"/>
        </w:rPr>
      </w:pPr>
    </w:p>
    <w:p w14:paraId="62F96C11" w14:textId="77777777" w:rsidR="00447991" w:rsidRDefault="00FC54EF">
      <w:pPr>
        <w:tabs>
          <w:tab w:val="left" w:pos="1701"/>
        </w:tabs>
        <w:ind w:right="203" w:firstLine="567"/>
        <w:jc w:val="both"/>
        <w:rPr>
          <w:b/>
          <w:sz w:val="27"/>
          <w:szCs w:val="27"/>
          <w:lang w:val="uk-UA"/>
        </w:rPr>
      </w:pPr>
      <w:r>
        <w:rPr>
          <w:b/>
          <w:sz w:val="27"/>
          <w:szCs w:val="27"/>
          <w:lang w:val="uk-UA"/>
        </w:rPr>
        <w:t>Оцінка впливу на сферу інтересів громадян</w:t>
      </w:r>
    </w:p>
    <w:p w14:paraId="15B3BE57" w14:textId="77777777" w:rsidR="00447991" w:rsidRDefault="00447991">
      <w:pPr>
        <w:tabs>
          <w:tab w:val="left" w:pos="1701"/>
        </w:tabs>
        <w:ind w:right="203" w:firstLine="567"/>
        <w:jc w:val="both"/>
        <w:rPr>
          <w:b/>
          <w:sz w:val="27"/>
          <w:szCs w:val="27"/>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86"/>
        <w:gridCol w:w="3430"/>
      </w:tblGrid>
      <w:tr w:rsidR="00447991" w14:paraId="0A293173" w14:textId="77777777">
        <w:trPr>
          <w:trHeight w:val="815"/>
        </w:trPr>
        <w:tc>
          <w:tcPr>
            <w:tcW w:w="2410" w:type="dxa"/>
            <w:shd w:val="clear" w:color="auto" w:fill="auto"/>
            <w:vAlign w:val="center"/>
          </w:tcPr>
          <w:p w14:paraId="2B99D43E" w14:textId="77777777" w:rsidR="00447991" w:rsidRDefault="00FC54EF">
            <w:pPr>
              <w:jc w:val="center"/>
              <w:textAlignment w:val="baseline"/>
              <w:rPr>
                <w:b/>
                <w:lang w:val="uk-UA" w:eastAsia="uk-UA"/>
              </w:rPr>
            </w:pPr>
            <w:r>
              <w:rPr>
                <w:b/>
                <w:lang w:val="uk-UA" w:eastAsia="uk-UA"/>
              </w:rPr>
              <w:t>Вид альтернативи</w:t>
            </w:r>
          </w:p>
        </w:tc>
        <w:tc>
          <w:tcPr>
            <w:tcW w:w="3686" w:type="dxa"/>
            <w:shd w:val="clear" w:color="auto" w:fill="auto"/>
            <w:vAlign w:val="center"/>
          </w:tcPr>
          <w:p w14:paraId="477010AF" w14:textId="77777777" w:rsidR="00447991" w:rsidRDefault="00FC54EF">
            <w:pPr>
              <w:jc w:val="center"/>
              <w:textAlignment w:val="baseline"/>
              <w:rPr>
                <w:b/>
                <w:lang w:val="uk-UA" w:eastAsia="uk-UA"/>
              </w:rPr>
            </w:pPr>
            <w:r>
              <w:rPr>
                <w:b/>
                <w:lang w:val="uk-UA" w:eastAsia="uk-UA"/>
              </w:rPr>
              <w:t>Вигоди</w:t>
            </w:r>
          </w:p>
        </w:tc>
        <w:tc>
          <w:tcPr>
            <w:tcW w:w="3430" w:type="dxa"/>
            <w:shd w:val="clear" w:color="auto" w:fill="auto"/>
            <w:vAlign w:val="center"/>
          </w:tcPr>
          <w:p w14:paraId="313CF253" w14:textId="77777777" w:rsidR="00447991" w:rsidRDefault="00FC54EF">
            <w:pPr>
              <w:jc w:val="center"/>
              <w:textAlignment w:val="baseline"/>
              <w:rPr>
                <w:b/>
                <w:lang w:val="uk-UA" w:eastAsia="uk-UA"/>
              </w:rPr>
            </w:pPr>
            <w:r>
              <w:rPr>
                <w:b/>
                <w:lang w:val="uk-UA" w:eastAsia="uk-UA"/>
              </w:rPr>
              <w:t>Витрати</w:t>
            </w:r>
          </w:p>
        </w:tc>
      </w:tr>
      <w:tr w:rsidR="00447991" w14:paraId="6D465884" w14:textId="77777777">
        <w:trPr>
          <w:trHeight w:val="1231"/>
        </w:trPr>
        <w:tc>
          <w:tcPr>
            <w:tcW w:w="2410" w:type="dxa"/>
            <w:shd w:val="clear" w:color="auto" w:fill="auto"/>
          </w:tcPr>
          <w:p w14:paraId="695AAD57" w14:textId="77777777" w:rsidR="00447991" w:rsidRDefault="00FC54EF">
            <w:pPr>
              <w:textAlignment w:val="baseline"/>
              <w:rPr>
                <w:lang w:val="uk-UA"/>
              </w:rPr>
            </w:pPr>
            <w:r>
              <w:rPr>
                <w:lang w:val="uk-UA"/>
              </w:rPr>
              <w:t xml:space="preserve">Прийняття </w:t>
            </w:r>
            <w:proofErr w:type="spellStart"/>
            <w:r>
              <w:rPr>
                <w:bCs/>
                <w:lang w:val="uk-UA"/>
              </w:rPr>
              <w:t>проєкту</w:t>
            </w:r>
            <w:proofErr w:type="spellEnd"/>
            <w:r>
              <w:rPr>
                <w:bCs/>
                <w:lang w:val="uk-UA"/>
              </w:rPr>
              <w:t xml:space="preserve">  постанови </w:t>
            </w:r>
          </w:p>
        </w:tc>
        <w:tc>
          <w:tcPr>
            <w:tcW w:w="3686" w:type="dxa"/>
            <w:shd w:val="clear" w:color="auto" w:fill="auto"/>
          </w:tcPr>
          <w:p w14:paraId="56B8D505" w14:textId="77777777" w:rsidR="00447991" w:rsidRDefault="00FC54EF">
            <w:pPr>
              <w:jc w:val="both"/>
              <w:textAlignment w:val="baseline"/>
              <w:rPr>
                <w:spacing w:val="-4"/>
                <w:lang w:val="uk-UA" w:eastAsia="uk-UA"/>
              </w:rPr>
            </w:pPr>
            <w:r>
              <w:rPr>
                <w:lang w:val="uk-UA"/>
              </w:rPr>
              <w:t>Підвищує рівень надійності та безперебійності  надання  окремих комунальних послуг (безпеки постачання)</w:t>
            </w:r>
          </w:p>
        </w:tc>
        <w:tc>
          <w:tcPr>
            <w:tcW w:w="3430" w:type="dxa"/>
            <w:shd w:val="clear" w:color="auto" w:fill="auto"/>
          </w:tcPr>
          <w:p w14:paraId="0BD108AC" w14:textId="77777777" w:rsidR="00447991" w:rsidRDefault="00FC54EF">
            <w:pPr>
              <w:textAlignment w:val="baseline"/>
              <w:rPr>
                <w:lang w:val="uk-UA" w:eastAsia="uk-UA"/>
              </w:rPr>
            </w:pPr>
            <w:r>
              <w:rPr>
                <w:lang w:val="uk-UA" w:eastAsia="uk-UA"/>
              </w:rPr>
              <w:t>Оплата комунальних послуг за встановленими тарифами</w:t>
            </w:r>
            <w:r>
              <w:rPr>
                <w:lang w:val="uk-UA"/>
              </w:rPr>
              <w:t xml:space="preserve"> </w:t>
            </w:r>
          </w:p>
        </w:tc>
      </w:tr>
      <w:tr w:rsidR="00447991" w14:paraId="2ECA420B" w14:textId="77777777">
        <w:trPr>
          <w:trHeight w:val="566"/>
        </w:trPr>
        <w:tc>
          <w:tcPr>
            <w:tcW w:w="2410" w:type="dxa"/>
            <w:shd w:val="clear" w:color="auto" w:fill="auto"/>
          </w:tcPr>
          <w:p w14:paraId="3EBEBC56" w14:textId="77777777" w:rsidR="00447991" w:rsidRDefault="00FC54EF">
            <w:pPr>
              <w:textAlignment w:val="baseline"/>
              <w:rPr>
                <w:lang w:val="uk-UA"/>
              </w:rPr>
            </w:pPr>
            <w:r>
              <w:rPr>
                <w:lang w:val="uk-UA"/>
              </w:rPr>
              <w:t>Залишення існуючої ситуації без змін</w:t>
            </w:r>
          </w:p>
        </w:tc>
        <w:tc>
          <w:tcPr>
            <w:tcW w:w="3686" w:type="dxa"/>
            <w:shd w:val="clear" w:color="auto" w:fill="auto"/>
          </w:tcPr>
          <w:p w14:paraId="364BF6CD" w14:textId="77777777" w:rsidR="00447991" w:rsidRDefault="00FC54EF">
            <w:pPr>
              <w:textAlignment w:val="baseline"/>
              <w:rPr>
                <w:spacing w:val="-4"/>
                <w:lang w:val="uk-UA" w:eastAsia="uk-UA"/>
              </w:rPr>
            </w:pPr>
            <w:r>
              <w:rPr>
                <w:lang w:val="uk-UA" w:eastAsia="uk-UA"/>
              </w:rPr>
              <w:t>Відсутні</w:t>
            </w:r>
          </w:p>
        </w:tc>
        <w:tc>
          <w:tcPr>
            <w:tcW w:w="3430" w:type="dxa"/>
            <w:shd w:val="clear" w:color="auto" w:fill="auto"/>
          </w:tcPr>
          <w:p w14:paraId="1B47DBDC" w14:textId="77777777" w:rsidR="00447991" w:rsidRDefault="00FC54EF">
            <w:pPr>
              <w:jc w:val="both"/>
              <w:textAlignment w:val="baseline"/>
              <w:rPr>
                <w:spacing w:val="-4"/>
                <w:lang w:val="uk-UA" w:eastAsia="uk-UA"/>
              </w:rPr>
            </w:pPr>
            <w:r>
              <w:rPr>
                <w:spacing w:val="-4"/>
                <w:lang w:val="uk-UA" w:eastAsia="uk-UA"/>
              </w:rPr>
              <w:t>Не забезпечено належний рівень надійності надання окремих комунальних послуг (водопостачання, водовідведення та теплопостачання)</w:t>
            </w:r>
          </w:p>
        </w:tc>
      </w:tr>
    </w:tbl>
    <w:p w14:paraId="5FE1E5CE" w14:textId="1AAFDDDA" w:rsidR="00447991" w:rsidRDefault="0031434F" w:rsidP="0031434F">
      <w:pPr>
        <w:tabs>
          <w:tab w:val="left" w:pos="720"/>
        </w:tabs>
        <w:contextualSpacing/>
        <w:jc w:val="both"/>
        <w:rPr>
          <w:b/>
          <w:sz w:val="27"/>
          <w:szCs w:val="27"/>
          <w:lang w:val="uk-UA"/>
        </w:rPr>
      </w:pPr>
      <w:r>
        <w:rPr>
          <w:b/>
          <w:sz w:val="27"/>
          <w:szCs w:val="27"/>
          <w:lang w:val="uk-UA"/>
        </w:rPr>
        <w:lastRenderedPageBreak/>
        <w:tab/>
        <w:t>Оцінка впливу на сферу інтересів суб’єктів господарювання</w:t>
      </w:r>
    </w:p>
    <w:p w14:paraId="783A0445" w14:textId="77777777" w:rsidR="00447991" w:rsidRDefault="00447991">
      <w:pPr>
        <w:tabs>
          <w:tab w:val="left" w:pos="720"/>
        </w:tabs>
        <w:ind w:firstLine="567"/>
        <w:contextualSpacing/>
        <w:jc w:val="both"/>
        <w:rPr>
          <w:sz w:val="27"/>
          <w:szCs w:val="27"/>
          <w:lang w:val="uk-UA"/>
        </w:rPr>
      </w:pP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134"/>
        <w:gridCol w:w="1134"/>
        <w:gridCol w:w="992"/>
        <w:gridCol w:w="992"/>
        <w:gridCol w:w="992"/>
      </w:tblGrid>
      <w:tr w:rsidR="00447991" w14:paraId="007589F3" w14:textId="77777777">
        <w:trPr>
          <w:trHeight w:val="388"/>
        </w:trPr>
        <w:tc>
          <w:tcPr>
            <w:tcW w:w="4111" w:type="dxa"/>
            <w:noWrap/>
          </w:tcPr>
          <w:p w14:paraId="64C2D59B" w14:textId="77777777" w:rsidR="00447991" w:rsidRDefault="00FC54EF">
            <w:pPr>
              <w:tabs>
                <w:tab w:val="left" w:pos="720"/>
              </w:tabs>
              <w:contextualSpacing/>
              <w:jc w:val="center"/>
              <w:rPr>
                <w:lang w:val="uk-UA"/>
              </w:rPr>
            </w:pPr>
            <w:r>
              <w:rPr>
                <w:lang w:val="uk-UA"/>
              </w:rPr>
              <w:t>Показник</w:t>
            </w:r>
          </w:p>
        </w:tc>
        <w:tc>
          <w:tcPr>
            <w:tcW w:w="1134" w:type="dxa"/>
            <w:noWrap/>
          </w:tcPr>
          <w:p w14:paraId="218995F8" w14:textId="77777777" w:rsidR="00447991" w:rsidRDefault="00FC54EF">
            <w:pPr>
              <w:tabs>
                <w:tab w:val="left" w:pos="720"/>
              </w:tabs>
              <w:contextualSpacing/>
              <w:jc w:val="center"/>
              <w:rPr>
                <w:lang w:val="uk-UA"/>
              </w:rPr>
            </w:pPr>
            <w:r>
              <w:rPr>
                <w:lang w:val="uk-UA"/>
              </w:rPr>
              <w:t>Великі</w:t>
            </w:r>
          </w:p>
        </w:tc>
        <w:tc>
          <w:tcPr>
            <w:tcW w:w="1134" w:type="dxa"/>
            <w:noWrap/>
          </w:tcPr>
          <w:p w14:paraId="364B0BD5" w14:textId="77777777" w:rsidR="00447991" w:rsidRDefault="00FC54EF">
            <w:pPr>
              <w:tabs>
                <w:tab w:val="left" w:pos="720"/>
              </w:tabs>
              <w:contextualSpacing/>
              <w:jc w:val="center"/>
              <w:rPr>
                <w:lang w:val="uk-UA"/>
              </w:rPr>
            </w:pPr>
            <w:r>
              <w:rPr>
                <w:lang w:val="uk-UA"/>
              </w:rPr>
              <w:t>Середні</w:t>
            </w:r>
          </w:p>
        </w:tc>
        <w:tc>
          <w:tcPr>
            <w:tcW w:w="992" w:type="dxa"/>
            <w:noWrap/>
          </w:tcPr>
          <w:p w14:paraId="7811C1D1" w14:textId="77777777" w:rsidR="00447991" w:rsidRDefault="00FC54EF">
            <w:pPr>
              <w:tabs>
                <w:tab w:val="left" w:pos="720"/>
              </w:tabs>
              <w:contextualSpacing/>
              <w:jc w:val="center"/>
              <w:rPr>
                <w:lang w:val="uk-UA"/>
              </w:rPr>
            </w:pPr>
            <w:r>
              <w:rPr>
                <w:lang w:val="uk-UA"/>
              </w:rPr>
              <w:t>Малі</w:t>
            </w:r>
          </w:p>
        </w:tc>
        <w:tc>
          <w:tcPr>
            <w:tcW w:w="992" w:type="dxa"/>
            <w:noWrap/>
          </w:tcPr>
          <w:p w14:paraId="5C456E27" w14:textId="77777777" w:rsidR="00447991" w:rsidRDefault="00FC54EF">
            <w:pPr>
              <w:tabs>
                <w:tab w:val="left" w:pos="720"/>
              </w:tabs>
              <w:contextualSpacing/>
              <w:jc w:val="center"/>
              <w:rPr>
                <w:lang w:val="uk-UA"/>
              </w:rPr>
            </w:pPr>
            <w:r>
              <w:rPr>
                <w:lang w:val="uk-UA"/>
              </w:rPr>
              <w:t>Мікро</w:t>
            </w:r>
          </w:p>
        </w:tc>
        <w:tc>
          <w:tcPr>
            <w:tcW w:w="992" w:type="dxa"/>
            <w:noWrap/>
          </w:tcPr>
          <w:p w14:paraId="6E9FB87D" w14:textId="77777777" w:rsidR="00447991" w:rsidRDefault="00FC54EF">
            <w:pPr>
              <w:tabs>
                <w:tab w:val="left" w:pos="720"/>
              </w:tabs>
              <w:contextualSpacing/>
              <w:jc w:val="center"/>
              <w:rPr>
                <w:lang w:val="uk-UA"/>
              </w:rPr>
            </w:pPr>
            <w:r>
              <w:rPr>
                <w:lang w:val="uk-UA"/>
              </w:rPr>
              <w:t>Разом</w:t>
            </w:r>
          </w:p>
        </w:tc>
      </w:tr>
      <w:tr w:rsidR="00447991" w14:paraId="5177D04F" w14:textId="77777777">
        <w:tc>
          <w:tcPr>
            <w:tcW w:w="4111" w:type="dxa"/>
            <w:noWrap/>
          </w:tcPr>
          <w:p w14:paraId="3839F08A" w14:textId="77777777" w:rsidR="00447991" w:rsidRDefault="00FC54EF">
            <w:pPr>
              <w:contextualSpacing/>
              <w:jc w:val="both"/>
              <w:rPr>
                <w:lang w:val="uk-UA"/>
              </w:rPr>
            </w:pPr>
            <w:r>
              <w:rPr>
                <w:lang w:val="uk-UA"/>
              </w:rPr>
              <w:t>Кількість суб’єктів господарювання, що підпадають під дію регулювання, в тому числі:</w:t>
            </w:r>
          </w:p>
        </w:tc>
        <w:tc>
          <w:tcPr>
            <w:tcW w:w="1134" w:type="dxa"/>
            <w:noWrap/>
          </w:tcPr>
          <w:p w14:paraId="21CDBFFE" w14:textId="77777777" w:rsidR="00447991" w:rsidRDefault="00447991">
            <w:pPr>
              <w:tabs>
                <w:tab w:val="left" w:pos="720"/>
              </w:tabs>
              <w:contextualSpacing/>
              <w:jc w:val="center"/>
              <w:rPr>
                <w:color w:val="000000" w:themeColor="text1"/>
                <w:lang w:val="uk-UA"/>
              </w:rPr>
            </w:pPr>
          </w:p>
          <w:p w14:paraId="6D4B3AC1" w14:textId="77777777" w:rsidR="00447991" w:rsidRDefault="00FC54EF">
            <w:pPr>
              <w:tabs>
                <w:tab w:val="left" w:pos="720"/>
              </w:tabs>
              <w:contextualSpacing/>
              <w:jc w:val="center"/>
              <w:rPr>
                <w:color w:val="000000" w:themeColor="text1"/>
                <w:lang w:val="uk-UA"/>
              </w:rPr>
            </w:pPr>
            <w:r>
              <w:rPr>
                <w:color w:val="000000" w:themeColor="text1"/>
                <w:lang w:val="uk-UA"/>
              </w:rPr>
              <w:t>25</w:t>
            </w:r>
          </w:p>
        </w:tc>
        <w:tc>
          <w:tcPr>
            <w:tcW w:w="1134" w:type="dxa"/>
            <w:noWrap/>
          </w:tcPr>
          <w:p w14:paraId="7A19E2E3" w14:textId="77777777" w:rsidR="00447991" w:rsidRDefault="00447991">
            <w:pPr>
              <w:tabs>
                <w:tab w:val="left" w:pos="720"/>
              </w:tabs>
              <w:contextualSpacing/>
              <w:jc w:val="center"/>
              <w:rPr>
                <w:color w:val="000000" w:themeColor="text1"/>
                <w:lang w:val="uk-UA"/>
              </w:rPr>
            </w:pPr>
          </w:p>
          <w:p w14:paraId="4E222A81" w14:textId="77777777" w:rsidR="00447991" w:rsidRDefault="00FC54EF">
            <w:pPr>
              <w:tabs>
                <w:tab w:val="left" w:pos="720"/>
              </w:tabs>
              <w:contextualSpacing/>
              <w:jc w:val="center"/>
              <w:rPr>
                <w:color w:val="000000" w:themeColor="text1"/>
                <w:lang w:val="uk-UA"/>
              </w:rPr>
            </w:pPr>
            <w:r>
              <w:rPr>
                <w:color w:val="000000" w:themeColor="text1"/>
                <w:lang w:val="uk-UA"/>
              </w:rPr>
              <w:t>223</w:t>
            </w:r>
          </w:p>
        </w:tc>
        <w:tc>
          <w:tcPr>
            <w:tcW w:w="992" w:type="dxa"/>
            <w:noWrap/>
          </w:tcPr>
          <w:p w14:paraId="0FC58370" w14:textId="77777777" w:rsidR="00447991" w:rsidRDefault="00447991">
            <w:pPr>
              <w:tabs>
                <w:tab w:val="left" w:pos="720"/>
              </w:tabs>
              <w:contextualSpacing/>
              <w:jc w:val="center"/>
              <w:rPr>
                <w:lang w:val="uk-UA"/>
              </w:rPr>
            </w:pPr>
          </w:p>
          <w:p w14:paraId="27501ABC" w14:textId="77777777" w:rsidR="00447991" w:rsidRDefault="00FC54EF">
            <w:pPr>
              <w:tabs>
                <w:tab w:val="left" w:pos="720"/>
              </w:tabs>
              <w:contextualSpacing/>
              <w:jc w:val="center"/>
              <w:rPr>
                <w:lang w:val="uk-UA"/>
              </w:rPr>
            </w:pPr>
            <w:r>
              <w:rPr>
                <w:lang w:val="uk-UA"/>
              </w:rPr>
              <w:t>1077</w:t>
            </w:r>
          </w:p>
        </w:tc>
        <w:tc>
          <w:tcPr>
            <w:tcW w:w="992" w:type="dxa"/>
            <w:noWrap/>
          </w:tcPr>
          <w:p w14:paraId="471E56DE" w14:textId="77777777" w:rsidR="00447991" w:rsidRDefault="00447991">
            <w:pPr>
              <w:tabs>
                <w:tab w:val="left" w:pos="720"/>
              </w:tabs>
              <w:contextualSpacing/>
              <w:jc w:val="center"/>
              <w:rPr>
                <w:lang w:val="uk-UA"/>
              </w:rPr>
            </w:pPr>
          </w:p>
          <w:p w14:paraId="71F761CE" w14:textId="77777777" w:rsidR="00447991" w:rsidRDefault="00FC54EF">
            <w:pPr>
              <w:tabs>
                <w:tab w:val="left" w:pos="720"/>
              </w:tabs>
              <w:contextualSpacing/>
              <w:jc w:val="center"/>
              <w:rPr>
                <w:lang w:val="uk-UA"/>
              </w:rPr>
            </w:pPr>
            <w:r>
              <w:rPr>
                <w:lang w:val="uk-UA"/>
              </w:rPr>
              <w:t>-</w:t>
            </w:r>
          </w:p>
        </w:tc>
        <w:tc>
          <w:tcPr>
            <w:tcW w:w="992" w:type="dxa"/>
            <w:noWrap/>
          </w:tcPr>
          <w:p w14:paraId="3A700FE7" w14:textId="77777777" w:rsidR="00447991" w:rsidRDefault="00447991">
            <w:pPr>
              <w:tabs>
                <w:tab w:val="left" w:pos="720"/>
              </w:tabs>
              <w:contextualSpacing/>
              <w:jc w:val="center"/>
              <w:rPr>
                <w:lang w:val="uk-UA"/>
              </w:rPr>
            </w:pPr>
          </w:p>
          <w:p w14:paraId="781ED254" w14:textId="77777777" w:rsidR="00447991" w:rsidRDefault="00FC54EF">
            <w:pPr>
              <w:tabs>
                <w:tab w:val="left" w:pos="720"/>
              </w:tabs>
              <w:contextualSpacing/>
              <w:jc w:val="center"/>
              <w:rPr>
                <w:lang w:val="uk-UA"/>
              </w:rPr>
            </w:pPr>
            <w:r>
              <w:rPr>
                <w:lang w:val="uk-UA"/>
              </w:rPr>
              <w:t>1325</w:t>
            </w:r>
          </w:p>
        </w:tc>
      </w:tr>
      <w:tr w:rsidR="00447991" w14:paraId="31F72514" w14:textId="77777777">
        <w:tc>
          <w:tcPr>
            <w:tcW w:w="4111" w:type="dxa"/>
            <w:noWrap/>
          </w:tcPr>
          <w:p w14:paraId="7C7F40D6" w14:textId="77777777" w:rsidR="00447991" w:rsidRDefault="00FC54EF">
            <w:pPr>
              <w:contextualSpacing/>
              <w:jc w:val="both"/>
              <w:rPr>
                <w:lang w:val="uk-UA"/>
              </w:rPr>
            </w:pPr>
            <w:r>
              <w:rPr>
                <w:lang w:val="uk-UA"/>
              </w:rPr>
              <w:t xml:space="preserve">1) </w:t>
            </w:r>
            <w:proofErr w:type="spellStart"/>
            <w:r>
              <w:rPr>
                <w:lang w:val="uk-UA"/>
              </w:rPr>
              <w:t>електропостачальники</w:t>
            </w:r>
            <w:proofErr w:type="spellEnd"/>
          </w:p>
        </w:tc>
        <w:tc>
          <w:tcPr>
            <w:tcW w:w="1134" w:type="dxa"/>
            <w:noWrap/>
          </w:tcPr>
          <w:p w14:paraId="38E73F4A" w14:textId="77777777" w:rsidR="00447991" w:rsidRDefault="00FC54EF">
            <w:pPr>
              <w:tabs>
                <w:tab w:val="left" w:pos="720"/>
              </w:tabs>
              <w:contextualSpacing/>
              <w:jc w:val="center"/>
              <w:rPr>
                <w:color w:val="000000" w:themeColor="text1"/>
                <w:lang w:val="uk-UA"/>
              </w:rPr>
            </w:pPr>
            <w:r>
              <w:rPr>
                <w:color w:val="000000" w:themeColor="text1"/>
                <w:lang w:val="uk-UA"/>
              </w:rPr>
              <w:t>22</w:t>
            </w:r>
          </w:p>
        </w:tc>
        <w:tc>
          <w:tcPr>
            <w:tcW w:w="1134" w:type="dxa"/>
            <w:noWrap/>
          </w:tcPr>
          <w:p w14:paraId="1A73C2F1" w14:textId="77777777" w:rsidR="00447991" w:rsidRDefault="00FC54EF">
            <w:pPr>
              <w:tabs>
                <w:tab w:val="left" w:pos="720"/>
              </w:tabs>
              <w:contextualSpacing/>
              <w:jc w:val="center"/>
              <w:rPr>
                <w:color w:val="000000" w:themeColor="text1"/>
                <w:lang w:val="uk-UA"/>
              </w:rPr>
            </w:pPr>
            <w:r>
              <w:rPr>
                <w:color w:val="000000" w:themeColor="text1"/>
                <w:lang w:val="uk-UA"/>
              </w:rPr>
              <w:t>158</w:t>
            </w:r>
          </w:p>
        </w:tc>
        <w:tc>
          <w:tcPr>
            <w:tcW w:w="992" w:type="dxa"/>
            <w:noWrap/>
          </w:tcPr>
          <w:p w14:paraId="660A4ED9" w14:textId="77777777" w:rsidR="00447991" w:rsidRDefault="00FC54EF">
            <w:pPr>
              <w:tabs>
                <w:tab w:val="left" w:pos="720"/>
              </w:tabs>
              <w:contextualSpacing/>
              <w:jc w:val="center"/>
              <w:rPr>
                <w:lang w:val="uk-UA"/>
              </w:rPr>
            </w:pPr>
            <w:r>
              <w:rPr>
                <w:lang w:val="uk-UA"/>
              </w:rPr>
              <w:t>1077</w:t>
            </w:r>
          </w:p>
        </w:tc>
        <w:tc>
          <w:tcPr>
            <w:tcW w:w="992" w:type="dxa"/>
            <w:noWrap/>
          </w:tcPr>
          <w:p w14:paraId="347FB69F" w14:textId="77777777" w:rsidR="00447991" w:rsidRDefault="00FC54EF">
            <w:pPr>
              <w:tabs>
                <w:tab w:val="left" w:pos="720"/>
              </w:tabs>
              <w:contextualSpacing/>
              <w:jc w:val="center"/>
              <w:rPr>
                <w:lang w:val="uk-UA"/>
              </w:rPr>
            </w:pPr>
            <w:r>
              <w:rPr>
                <w:lang w:val="uk-UA"/>
              </w:rPr>
              <w:t>-</w:t>
            </w:r>
          </w:p>
        </w:tc>
        <w:tc>
          <w:tcPr>
            <w:tcW w:w="992" w:type="dxa"/>
            <w:noWrap/>
          </w:tcPr>
          <w:p w14:paraId="228DB8CC" w14:textId="77777777" w:rsidR="00447991" w:rsidRDefault="00FC54EF">
            <w:pPr>
              <w:tabs>
                <w:tab w:val="left" w:pos="720"/>
              </w:tabs>
              <w:contextualSpacing/>
              <w:jc w:val="center"/>
              <w:rPr>
                <w:lang w:val="uk-UA"/>
              </w:rPr>
            </w:pPr>
            <w:r>
              <w:rPr>
                <w:lang w:val="uk-UA"/>
              </w:rPr>
              <w:t>1257</w:t>
            </w:r>
          </w:p>
        </w:tc>
      </w:tr>
      <w:tr w:rsidR="00447991" w14:paraId="5F1A2843" w14:textId="77777777">
        <w:tc>
          <w:tcPr>
            <w:tcW w:w="4111" w:type="dxa"/>
            <w:noWrap/>
          </w:tcPr>
          <w:p w14:paraId="7156483B" w14:textId="77777777" w:rsidR="00447991" w:rsidRDefault="00FC54EF">
            <w:pPr>
              <w:contextualSpacing/>
              <w:jc w:val="both"/>
              <w:rPr>
                <w:lang w:val="uk-UA"/>
              </w:rPr>
            </w:pPr>
            <w:r>
              <w:rPr>
                <w:lang w:val="uk-UA"/>
              </w:rPr>
              <w:t>2) суб’єкти господарювання, які претендують на отримання статусу захищеного споживача, в тому числі:</w:t>
            </w:r>
          </w:p>
        </w:tc>
        <w:tc>
          <w:tcPr>
            <w:tcW w:w="1134" w:type="dxa"/>
            <w:noWrap/>
          </w:tcPr>
          <w:p w14:paraId="161DE2B7" w14:textId="77777777" w:rsidR="00447991" w:rsidRDefault="00FC54EF">
            <w:pPr>
              <w:tabs>
                <w:tab w:val="left" w:pos="720"/>
              </w:tabs>
              <w:contextualSpacing/>
              <w:jc w:val="center"/>
              <w:rPr>
                <w:color w:val="000000" w:themeColor="text1"/>
                <w:lang w:val="uk-UA"/>
              </w:rPr>
            </w:pPr>
            <w:r>
              <w:rPr>
                <w:color w:val="000000" w:themeColor="text1"/>
                <w:lang w:val="uk-UA"/>
              </w:rPr>
              <w:t>3</w:t>
            </w:r>
          </w:p>
        </w:tc>
        <w:tc>
          <w:tcPr>
            <w:tcW w:w="1134" w:type="dxa"/>
            <w:noWrap/>
          </w:tcPr>
          <w:p w14:paraId="138F53E2" w14:textId="77777777" w:rsidR="00447991" w:rsidRDefault="00FC54EF">
            <w:pPr>
              <w:tabs>
                <w:tab w:val="left" w:pos="720"/>
              </w:tabs>
              <w:contextualSpacing/>
              <w:jc w:val="center"/>
              <w:rPr>
                <w:color w:val="000000" w:themeColor="text1"/>
                <w:lang w:val="uk-UA"/>
              </w:rPr>
            </w:pPr>
            <w:r>
              <w:rPr>
                <w:color w:val="000000" w:themeColor="text1"/>
                <w:lang w:val="uk-UA"/>
              </w:rPr>
              <w:t>65</w:t>
            </w:r>
          </w:p>
        </w:tc>
        <w:tc>
          <w:tcPr>
            <w:tcW w:w="992" w:type="dxa"/>
            <w:noWrap/>
          </w:tcPr>
          <w:p w14:paraId="7C91D0ED" w14:textId="77777777" w:rsidR="00447991" w:rsidRDefault="00FC54EF">
            <w:pPr>
              <w:tabs>
                <w:tab w:val="left" w:pos="720"/>
              </w:tabs>
              <w:contextualSpacing/>
              <w:jc w:val="center"/>
              <w:rPr>
                <w:lang w:val="uk-UA"/>
              </w:rPr>
            </w:pPr>
            <w:r>
              <w:rPr>
                <w:lang w:val="uk-UA"/>
              </w:rPr>
              <w:t>-</w:t>
            </w:r>
          </w:p>
        </w:tc>
        <w:tc>
          <w:tcPr>
            <w:tcW w:w="992" w:type="dxa"/>
            <w:noWrap/>
          </w:tcPr>
          <w:p w14:paraId="01090D69" w14:textId="77777777" w:rsidR="00447991" w:rsidRDefault="00FC54EF">
            <w:pPr>
              <w:tabs>
                <w:tab w:val="left" w:pos="720"/>
              </w:tabs>
              <w:contextualSpacing/>
              <w:jc w:val="center"/>
              <w:rPr>
                <w:lang w:val="uk-UA"/>
              </w:rPr>
            </w:pPr>
            <w:r>
              <w:rPr>
                <w:lang w:val="uk-UA"/>
              </w:rPr>
              <w:t>-</w:t>
            </w:r>
          </w:p>
        </w:tc>
        <w:tc>
          <w:tcPr>
            <w:tcW w:w="992" w:type="dxa"/>
            <w:noWrap/>
          </w:tcPr>
          <w:p w14:paraId="53542B9E" w14:textId="77777777" w:rsidR="00447991" w:rsidRDefault="00FC54EF">
            <w:pPr>
              <w:tabs>
                <w:tab w:val="left" w:pos="720"/>
              </w:tabs>
              <w:contextualSpacing/>
              <w:jc w:val="center"/>
              <w:rPr>
                <w:lang w:val="uk-UA"/>
              </w:rPr>
            </w:pPr>
            <w:r>
              <w:rPr>
                <w:lang w:val="uk-UA"/>
              </w:rPr>
              <w:t>68**</w:t>
            </w:r>
          </w:p>
        </w:tc>
      </w:tr>
      <w:tr w:rsidR="00447991" w14:paraId="167037F8" w14:textId="77777777">
        <w:tc>
          <w:tcPr>
            <w:tcW w:w="4111" w:type="dxa"/>
            <w:noWrap/>
          </w:tcPr>
          <w:p w14:paraId="09876BCF" w14:textId="77777777" w:rsidR="00447991" w:rsidRDefault="00FC54EF">
            <w:pPr>
              <w:contextualSpacing/>
              <w:jc w:val="both"/>
              <w:rPr>
                <w:lang w:val="uk-UA"/>
              </w:rPr>
            </w:pPr>
            <w:r>
              <w:rPr>
                <w:lang w:val="uk-UA"/>
              </w:rPr>
              <w:t>вугледобувні підприємства державної форми власності</w:t>
            </w:r>
          </w:p>
        </w:tc>
        <w:tc>
          <w:tcPr>
            <w:tcW w:w="1134" w:type="dxa"/>
            <w:noWrap/>
          </w:tcPr>
          <w:p w14:paraId="2B3F9308" w14:textId="77777777" w:rsidR="00447991" w:rsidRDefault="00FC54EF">
            <w:pPr>
              <w:tabs>
                <w:tab w:val="left" w:pos="720"/>
              </w:tabs>
              <w:contextualSpacing/>
              <w:jc w:val="center"/>
              <w:rPr>
                <w:color w:val="000000" w:themeColor="text1"/>
                <w:lang w:val="uk-UA"/>
              </w:rPr>
            </w:pPr>
            <w:r>
              <w:rPr>
                <w:color w:val="000000" w:themeColor="text1"/>
                <w:lang w:val="uk-UA"/>
              </w:rPr>
              <w:t>1</w:t>
            </w:r>
          </w:p>
        </w:tc>
        <w:tc>
          <w:tcPr>
            <w:tcW w:w="1134" w:type="dxa"/>
            <w:noWrap/>
          </w:tcPr>
          <w:p w14:paraId="40F8618A" w14:textId="77777777" w:rsidR="00447991" w:rsidRDefault="00FC54EF">
            <w:pPr>
              <w:tabs>
                <w:tab w:val="left" w:pos="720"/>
              </w:tabs>
              <w:contextualSpacing/>
              <w:jc w:val="center"/>
              <w:rPr>
                <w:color w:val="000000" w:themeColor="text1"/>
                <w:lang w:val="uk-UA"/>
              </w:rPr>
            </w:pPr>
            <w:r>
              <w:rPr>
                <w:color w:val="000000" w:themeColor="text1"/>
                <w:lang w:val="uk-UA"/>
              </w:rPr>
              <w:t>8</w:t>
            </w:r>
          </w:p>
        </w:tc>
        <w:tc>
          <w:tcPr>
            <w:tcW w:w="992" w:type="dxa"/>
            <w:noWrap/>
          </w:tcPr>
          <w:p w14:paraId="13C2B77D" w14:textId="77777777" w:rsidR="00447991" w:rsidRDefault="00FC54EF">
            <w:pPr>
              <w:tabs>
                <w:tab w:val="left" w:pos="720"/>
              </w:tabs>
              <w:contextualSpacing/>
              <w:jc w:val="center"/>
              <w:rPr>
                <w:lang w:val="uk-UA"/>
              </w:rPr>
            </w:pPr>
            <w:r>
              <w:rPr>
                <w:lang w:val="uk-UA"/>
              </w:rPr>
              <w:t>-</w:t>
            </w:r>
          </w:p>
        </w:tc>
        <w:tc>
          <w:tcPr>
            <w:tcW w:w="992" w:type="dxa"/>
            <w:noWrap/>
          </w:tcPr>
          <w:p w14:paraId="3005ED69" w14:textId="77777777" w:rsidR="00447991" w:rsidRDefault="00FC54EF">
            <w:pPr>
              <w:tabs>
                <w:tab w:val="left" w:pos="720"/>
              </w:tabs>
              <w:contextualSpacing/>
              <w:jc w:val="center"/>
              <w:rPr>
                <w:lang w:val="uk-UA"/>
              </w:rPr>
            </w:pPr>
            <w:r>
              <w:rPr>
                <w:lang w:val="uk-UA"/>
              </w:rPr>
              <w:t>-</w:t>
            </w:r>
          </w:p>
        </w:tc>
        <w:tc>
          <w:tcPr>
            <w:tcW w:w="992" w:type="dxa"/>
            <w:noWrap/>
          </w:tcPr>
          <w:p w14:paraId="6E71950E" w14:textId="77777777" w:rsidR="00447991" w:rsidRDefault="00FC54EF">
            <w:pPr>
              <w:tabs>
                <w:tab w:val="left" w:pos="720"/>
              </w:tabs>
              <w:contextualSpacing/>
              <w:jc w:val="center"/>
              <w:rPr>
                <w:lang w:val="uk-UA"/>
              </w:rPr>
            </w:pPr>
            <w:r>
              <w:rPr>
                <w:lang w:val="uk-UA"/>
              </w:rPr>
              <w:t>9*</w:t>
            </w:r>
          </w:p>
        </w:tc>
      </w:tr>
      <w:tr w:rsidR="00447991" w14:paraId="3B3BDADC" w14:textId="77777777">
        <w:tc>
          <w:tcPr>
            <w:tcW w:w="4111" w:type="dxa"/>
            <w:noWrap/>
          </w:tcPr>
          <w:p w14:paraId="6A1FDE90" w14:textId="77777777" w:rsidR="00447991" w:rsidRDefault="00FC54EF">
            <w:pPr>
              <w:contextualSpacing/>
              <w:jc w:val="both"/>
              <w:rPr>
                <w:lang w:val="uk-UA"/>
              </w:rPr>
            </w:pPr>
            <w:r>
              <w:rPr>
                <w:lang w:val="uk-UA"/>
              </w:rPr>
              <w:t>підприємства централізованого водопостачання та водовідведення всіх форм власності</w:t>
            </w:r>
          </w:p>
        </w:tc>
        <w:tc>
          <w:tcPr>
            <w:tcW w:w="1134" w:type="dxa"/>
            <w:noWrap/>
          </w:tcPr>
          <w:p w14:paraId="63AA205D" w14:textId="77777777" w:rsidR="00447991" w:rsidRDefault="00FC54EF">
            <w:pPr>
              <w:tabs>
                <w:tab w:val="left" w:pos="720"/>
              </w:tabs>
              <w:contextualSpacing/>
              <w:jc w:val="center"/>
              <w:rPr>
                <w:color w:val="000000" w:themeColor="text1"/>
                <w:lang w:val="uk-UA"/>
              </w:rPr>
            </w:pPr>
            <w:r>
              <w:rPr>
                <w:color w:val="000000" w:themeColor="text1"/>
                <w:lang w:val="uk-UA"/>
              </w:rPr>
              <w:t>2</w:t>
            </w:r>
          </w:p>
        </w:tc>
        <w:tc>
          <w:tcPr>
            <w:tcW w:w="1134" w:type="dxa"/>
            <w:noWrap/>
          </w:tcPr>
          <w:p w14:paraId="10A878C3" w14:textId="77777777" w:rsidR="00447991" w:rsidRDefault="00FC54EF">
            <w:pPr>
              <w:tabs>
                <w:tab w:val="left" w:pos="720"/>
              </w:tabs>
              <w:contextualSpacing/>
              <w:jc w:val="center"/>
              <w:rPr>
                <w:color w:val="000000" w:themeColor="text1"/>
                <w:lang w:val="uk-UA"/>
              </w:rPr>
            </w:pPr>
            <w:r>
              <w:rPr>
                <w:color w:val="000000" w:themeColor="text1"/>
                <w:lang w:val="uk-UA"/>
              </w:rPr>
              <w:t>50</w:t>
            </w:r>
          </w:p>
        </w:tc>
        <w:tc>
          <w:tcPr>
            <w:tcW w:w="992" w:type="dxa"/>
            <w:noWrap/>
          </w:tcPr>
          <w:p w14:paraId="2A2D96AD" w14:textId="77777777" w:rsidR="00447991" w:rsidRDefault="00FC54EF">
            <w:pPr>
              <w:tabs>
                <w:tab w:val="left" w:pos="720"/>
              </w:tabs>
              <w:contextualSpacing/>
              <w:jc w:val="center"/>
              <w:rPr>
                <w:lang w:val="uk-UA"/>
              </w:rPr>
            </w:pPr>
            <w:r>
              <w:rPr>
                <w:lang w:val="uk-UA"/>
              </w:rPr>
              <w:t>-</w:t>
            </w:r>
          </w:p>
        </w:tc>
        <w:tc>
          <w:tcPr>
            <w:tcW w:w="992" w:type="dxa"/>
            <w:noWrap/>
          </w:tcPr>
          <w:p w14:paraId="31FA296A" w14:textId="77777777" w:rsidR="00447991" w:rsidRDefault="00FC54EF">
            <w:pPr>
              <w:tabs>
                <w:tab w:val="left" w:pos="720"/>
              </w:tabs>
              <w:contextualSpacing/>
              <w:jc w:val="center"/>
              <w:rPr>
                <w:lang w:val="uk-UA"/>
              </w:rPr>
            </w:pPr>
            <w:r>
              <w:rPr>
                <w:lang w:val="uk-UA"/>
              </w:rPr>
              <w:t>-</w:t>
            </w:r>
          </w:p>
        </w:tc>
        <w:tc>
          <w:tcPr>
            <w:tcW w:w="992" w:type="dxa"/>
            <w:noWrap/>
          </w:tcPr>
          <w:p w14:paraId="651394AF" w14:textId="77777777" w:rsidR="00447991" w:rsidRDefault="00FC54EF">
            <w:pPr>
              <w:tabs>
                <w:tab w:val="left" w:pos="720"/>
              </w:tabs>
              <w:contextualSpacing/>
              <w:jc w:val="center"/>
              <w:rPr>
                <w:lang w:val="uk-UA"/>
              </w:rPr>
            </w:pPr>
            <w:r>
              <w:rPr>
                <w:lang w:val="uk-UA"/>
              </w:rPr>
              <w:t>52**</w:t>
            </w:r>
          </w:p>
        </w:tc>
      </w:tr>
      <w:tr w:rsidR="00447991" w14:paraId="4DA7CFF6" w14:textId="77777777">
        <w:tc>
          <w:tcPr>
            <w:tcW w:w="4111" w:type="dxa"/>
            <w:noWrap/>
          </w:tcPr>
          <w:p w14:paraId="0248093C" w14:textId="77777777" w:rsidR="00447991" w:rsidRDefault="00FC54EF">
            <w:pPr>
              <w:contextualSpacing/>
              <w:jc w:val="both"/>
              <w:rPr>
                <w:lang w:val="uk-UA"/>
              </w:rPr>
            </w:pPr>
            <w:r>
              <w:rPr>
                <w:lang w:val="uk-UA"/>
              </w:rPr>
              <w:t>підприємства державної та комунальної форм власності, які забезпечують надання теплової енергії та комунальних послуг, за виключенням тих, які провадять господарську діяльність з виробництва електричної енергії</w:t>
            </w:r>
          </w:p>
        </w:tc>
        <w:tc>
          <w:tcPr>
            <w:tcW w:w="1134" w:type="dxa"/>
            <w:noWrap/>
          </w:tcPr>
          <w:p w14:paraId="2096F813" w14:textId="77777777" w:rsidR="00447991" w:rsidRDefault="00FC54EF">
            <w:pPr>
              <w:tabs>
                <w:tab w:val="left" w:pos="720"/>
              </w:tabs>
              <w:contextualSpacing/>
              <w:jc w:val="center"/>
              <w:rPr>
                <w:color w:val="000000" w:themeColor="text1"/>
                <w:lang w:val="uk-UA"/>
              </w:rPr>
            </w:pPr>
            <w:r>
              <w:rPr>
                <w:color w:val="000000" w:themeColor="text1"/>
                <w:lang w:val="uk-UA"/>
              </w:rPr>
              <w:t>-</w:t>
            </w:r>
          </w:p>
        </w:tc>
        <w:tc>
          <w:tcPr>
            <w:tcW w:w="1134" w:type="dxa"/>
            <w:noWrap/>
          </w:tcPr>
          <w:p w14:paraId="5AB7AA00" w14:textId="77777777" w:rsidR="00447991" w:rsidRDefault="00FC54EF">
            <w:pPr>
              <w:tabs>
                <w:tab w:val="left" w:pos="720"/>
              </w:tabs>
              <w:contextualSpacing/>
              <w:jc w:val="center"/>
              <w:rPr>
                <w:color w:val="000000" w:themeColor="text1"/>
                <w:lang w:val="uk-UA"/>
              </w:rPr>
            </w:pPr>
            <w:r>
              <w:rPr>
                <w:color w:val="000000" w:themeColor="text1"/>
                <w:lang w:val="uk-UA"/>
              </w:rPr>
              <w:t>7</w:t>
            </w:r>
          </w:p>
        </w:tc>
        <w:tc>
          <w:tcPr>
            <w:tcW w:w="992" w:type="dxa"/>
            <w:noWrap/>
          </w:tcPr>
          <w:p w14:paraId="53019C36" w14:textId="77777777" w:rsidR="00447991" w:rsidRDefault="00FC54EF">
            <w:pPr>
              <w:tabs>
                <w:tab w:val="left" w:pos="720"/>
              </w:tabs>
              <w:contextualSpacing/>
              <w:jc w:val="center"/>
              <w:rPr>
                <w:lang w:val="uk-UA"/>
              </w:rPr>
            </w:pPr>
            <w:r>
              <w:rPr>
                <w:lang w:val="uk-UA"/>
              </w:rPr>
              <w:t>-</w:t>
            </w:r>
          </w:p>
        </w:tc>
        <w:tc>
          <w:tcPr>
            <w:tcW w:w="992" w:type="dxa"/>
            <w:noWrap/>
          </w:tcPr>
          <w:p w14:paraId="7FD2B821" w14:textId="77777777" w:rsidR="00447991" w:rsidRDefault="00FC54EF">
            <w:pPr>
              <w:tabs>
                <w:tab w:val="left" w:pos="720"/>
              </w:tabs>
              <w:contextualSpacing/>
              <w:jc w:val="center"/>
              <w:rPr>
                <w:lang w:val="uk-UA"/>
              </w:rPr>
            </w:pPr>
            <w:r>
              <w:rPr>
                <w:lang w:val="uk-UA"/>
              </w:rPr>
              <w:t>-</w:t>
            </w:r>
          </w:p>
        </w:tc>
        <w:tc>
          <w:tcPr>
            <w:tcW w:w="992" w:type="dxa"/>
            <w:noWrap/>
          </w:tcPr>
          <w:p w14:paraId="51EEB523" w14:textId="77777777" w:rsidR="00447991" w:rsidRDefault="00FC54EF">
            <w:pPr>
              <w:tabs>
                <w:tab w:val="left" w:pos="720"/>
              </w:tabs>
              <w:contextualSpacing/>
              <w:jc w:val="center"/>
              <w:rPr>
                <w:lang w:val="uk-UA"/>
              </w:rPr>
            </w:pPr>
            <w:r>
              <w:rPr>
                <w:lang w:val="uk-UA"/>
              </w:rPr>
              <w:t>7**</w:t>
            </w:r>
          </w:p>
        </w:tc>
      </w:tr>
      <w:tr w:rsidR="00447991" w14:paraId="020161E7" w14:textId="77777777">
        <w:tc>
          <w:tcPr>
            <w:tcW w:w="4111" w:type="dxa"/>
            <w:noWrap/>
          </w:tcPr>
          <w:p w14:paraId="39E1FED0" w14:textId="77777777" w:rsidR="00447991" w:rsidRDefault="00FC54EF">
            <w:pPr>
              <w:contextualSpacing/>
              <w:jc w:val="both"/>
              <w:rPr>
                <w:lang w:val="uk-UA"/>
              </w:rPr>
            </w:pPr>
            <w:r>
              <w:rPr>
                <w:lang w:val="uk-UA"/>
              </w:rPr>
              <w:t>питома вага у загальній кількості суб’єктів господарювання, що підпадають під дію регулювання, відсотків***</w:t>
            </w:r>
          </w:p>
        </w:tc>
        <w:tc>
          <w:tcPr>
            <w:tcW w:w="1134" w:type="dxa"/>
            <w:noWrap/>
          </w:tcPr>
          <w:p w14:paraId="2DF9415D" w14:textId="77777777" w:rsidR="00447991" w:rsidRDefault="00FC54EF">
            <w:pPr>
              <w:tabs>
                <w:tab w:val="left" w:pos="720"/>
              </w:tabs>
              <w:contextualSpacing/>
              <w:jc w:val="center"/>
              <w:rPr>
                <w:color w:val="000000" w:themeColor="text1"/>
                <w:lang w:val="uk-UA"/>
              </w:rPr>
            </w:pPr>
            <w:r>
              <w:rPr>
                <w:color w:val="000000" w:themeColor="text1"/>
                <w:lang w:val="uk-UA"/>
              </w:rPr>
              <w:t>1,9</w:t>
            </w:r>
          </w:p>
        </w:tc>
        <w:tc>
          <w:tcPr>
            <w:tcW w:w="1134" w:type="dxa"/>
            <w:noWrap/>
          </w:tcPr>
          <w:p w14:paraId="4E4D516B" w14:textId="77777777" w:rsidR="00447991" w:rsidRDefault="00FC54EF">
            <w:pPr>
              <w:tabs>
                <w:tab w:val="left" w:pos="720"/>
              </w:tabs>
              <w:contextualSpacing/>
              <w:jc w:val="center"/>
              <w:rPr>
                <w:color w:val="000000" w:themeColor="text1"/>
                <w:lang w:val="uk-UA"/>
              </w:rPr>
            </w:pPr>
            <w:r>
              <w:rPr>
                <w:color w:val="000000" w:themeColor="text1"/>
                <w:lang w:val="uk-UA"/>
              </w:rPr>
              <w:t>16,8</w:t>
            </w:r>
          </w:p>
        </w:tc>
        <w:tc>
          <w:tcPr>
            <w:tcW w:w="992" w:type="dxa"/>
            <w:noWrap/>
          </w:tcPr>
          <w:p w14:paraId="07395E66" w14:textId="77777777" w:rsidR="00447991" w:rsidRDefault="00FC54EF">
            <w:pPr>
              <w:tabs>
                <w:tab w:val="left" w:pos="720"/>
              </w:tabs>
              <w:contextualSpacing/>
              <w:jc w:val="center"/>
              <w:rPr>
                <w:lang w:val="uk-UA"/>
              </w:rPr>
            </w:pPr>
            <w:r>
              <w:rPr>
                <w:lang w:val="uk-UA"/>
              </w:rPr>
              <w:t>81,3</w:t>
            </w:r>
          </w:p>
        </w:tc>
        <w:tc>
          <w:tcPr>
            <w:tcW w:w="992" w:type="dxa"/>
            <w:noWrap/>
          </w:tcPr>
          <w:p w14:paraId="3EE73171" w14:textId="77777777" w:rsidR="00447991" w:rsidRDefault="00FC54EF">
            <w:pPr>
              <w:tabs>
                <w:tab w:val="left" w:pos="720"/>
              </w:tabs>
              <w:contextualSpacing/>
              <w:jc w:val="center"/>
              <w:rPr>
                <w:lang w:val="uk-UA"/>
              </w:rPr>
            </w:pPr>
            <w:r>
              <w:rPr>
                <w:lang w:val="uk-UA"/>
              </w:rPr>
              <w:t>-</w:t>
            </w:r>
          </w:p>
        </w:tc>
        <w:tc>
          <w:tcPr>
            <w:tcW w:w="992" w:type="dxa"/>
            <w:noWrap/>
          </w:tcPr>
          <w:p w14:paraId="46609358" w14:textId="77777777" w:rsidR="00447991" w:rsidRDefault="00FC54EF">
            <w:pPr>
              <w:tabs>
                <w:tab w:val="left" w:pos="720"/>
              </w:tabs>
              <w:contextualSpacing/>
              <w:jc w:val="center"/>
              <w:rPr>
                <w:lang w:val="uk-UA"/>
              </w:rPr>
            </w:pPr>
            <w:r>
              <w:rPr>
                <w:lang w:val="uk-UA"/>
              </w:rPr>
              <w:t>100</w:t>
            </w:r>
          </w:p>
        </w:tc>
      </w:tr>
    </w:tbl>
    <w:p w14:paraId="0A15809C" w14:textId="77777777" w:rsidR="00447991" w:rsidRDefault="00FC54EF">
      <w:pPr>
        <w:rPr>
          <w:sz w:val="27"/>
          <w:szCs w:val="27"/>
          <w:lang w:val="uk-UA"/>
        </w:rPr>
      </w:pPr>
      <w:r>
        <w:rPr>
          <w:sz w:val="27"/>
          <w:szCs w:val="27"/>
          <w:lang w:val="uk-UA"/>
        </w:rPr>
        <w:tab/>
      </w:r>
    </w:p>
    <w:p w14:paraId="75F3A229" w14:textId="77777777" w:rsidR="00447991" w:rsidRDefault="00FC54EF">
      <w:pPr>
        <w:rPr>
          <w:sz w:val="27"/>
          <w:szCs w:val="27"/>
          <w:lang w:val="uk-UA"/>
        </w:rPr>
      </w:pPr>
      <w:r>
        <w:rPr>
          <w:sz w:val="27"/>
          <w:szCs w:val="27"/>
          <w:lang w:val="uk-UA"/>
        </w:rPr>
        <w:t>*- Джерело інформації: періодична звітність підприємств</w:t>
      </w:r>
    </w:p>
    <w:p w14:paraId="1EA0E64A" w14:textId="1BD7B44B" w:rsidR="00447991" w:rsidRDefault="00FC54EF">
      <w:pPr>
        <w:jc w:val="both"/>
        <w:rPr>
          <w:rStyle w:val="ae"/>
          <w:sz w:val="27"/>
          <w:szCs w:val="27"/>
          <w:lang w:val="uk-UA"/>
        </w:rPr>
      </w:pPr>
      <w:r>
        <w:rPr>
          <w:sz w:val="27"/>
          <w:szCs w:val="27"/>
          <w:lang w:val="uk-UA"/>
        </w:rPr>
        <w:t>** - Джерело інформації: Реєстр суб</w:t>
      </w:r>
      <w:r w:rsidR="00001B1C">
        <w:rPr>
          <w:sz w:val="27"/>
          <w:szCs w:val="27"/>
          <w:lang w:val="uk-UA"/>
        </w:rPr>
        <w:t>’</w:t>
      </w:r>
      <w:r>
        <w:rPr>
          <w:sz w:val="27"/>
          <w:szCs w:val="27"/>
          <w:lang w:val="uk-UA"/>
        </w:rPr>
        <w:t xml:space="preserve">єктів господарювання, які провадять діяльність у сферах енергетики та комунальних послуг, діяльність яких регулюється НКРЕКП </w:t>
      </w:r>
      <w:hyperlink r:id="rId8" w:history="1">
        <w:r>
          <w:rPr>
            <w:rStyle w:val="ae"/>
            <w:sz w:val="27"/>
            <w:szCs w:val="27"/>
            <w:lang w:val="en-US"/>
          </w:rPr>
          <w:t>https</w:t>
        </w:r>
        <w:r>
          <w:rPr>
            <w:rStyle w:val="ae"/>
            <w:sz w:val="27"/>
            <w:szCs w:val="27"/>
            <w:lang w:val="uk-UA"/>
          </w:rPr>
          <w:t>://</w:t>
        </w:r>
        <w:r>
          <w:rPr>
            <w:rStyle w:val="ae"/>
            <w:sz w:val="27"/>
            <w:szCs w:val="27"/>
            <w:lang w:val="en-US"/>
          </w:rPr>
          <w:t>www</w:t>
        </w:r>
        <w:r>
          <w:rPr>
            <w:rStyle w:val="ae"/>
            <w:sz w:val="27"/>
            <w:szCs w:val="27"/>
            <w:lang w:val="uk-UA"/>
          </w:rPr>
          <w:t>.</w:t>
        </w:r>
        <w:proofErr w:type="spellStart"/>
        <w:r>
          <w:rPr>
            <w:rStyle w:val="ae"/>
            <w:sz w:val="27"/>
            <w:szCs w:val="27"/>
            <w:lang w:val="en-US"/>
          </w:rPr>
          <w:t>nerc</w:t>
        </w:r>
        <w:proofErr w:type="spellEnd"/>
        <w:r>
          <w:rPr>
            <w:rStyle w:val="ae"/>
            <w:sz w:val="27"/>
            <w:szCs w:val="27"/>
            <w:lang w:val="uk-UA"/>
          </w:rPr>
          <w:t>.</w:t>
        </w:r>
        <w:proofErr w:type="spellStart"/>
        <w:r>
          <w:rPr>
            <w:rStyle w:val="ae"/>
            <w:sz w:val="27"/>
            <w:szCs w:val="27"/>
            <w:lang w:val="en-US"/>
          </w:rPr>
          <w:t>gov</w:t>
        </w:r>
        <w:proofErr w:type="spellEnd"/>
        <w:r>
          <w:rPr>
            <w:rStyle w:val="ae"/>
            <w:sz w:val="27"/>
            <w:szCs w:val="27"/>
            <w:lang w:val="uk-UA"/>
          </w:rPr>
          <w:t>.</w:t>
        </w:r>
        <w:proofErr w:type="spellStart"/>
        <w:r>
          <w:rPr>
            <w:rStyle w:val="ae"/>
            <w:sz w:val="27"/>
            <w:szCs w:val="27"/>
            <w:lang w:val="en-US"/>
          </w:rPr>
          <w:t>ua</w:t>
        </w:r>
        <w:proofErr w:type="spellEnd"/>
        <w:r>
          <w:rPr>
            <w:rStyle w:val="ae"/>
            <w:sz w:val="27"/>
            <w:szCs w:val="27"/>
            <w:lang w:val="uk-UA"/>
          </w:rPr>
          <w:t>/</w:t>
        </w:r>
        <w:r>
          <w:rPr>
            <w:rStyle w:val="ae"/>
            <w:sz w:val="27"/>
            <w:szCs w:val="27"/>
            <w:lang w:val="en-US"/>
          </w:rPr>
          <w:t>storage</w:t>
        </w:r>
        <w:r>
          <w:rPr>
            <w:rStyle w:val="ae"/>
            <w:sz w:val="27"/>
            <w:szCs w:val="27"/>
            <w:lang w:val="uk-UA"/>
          </w:rPr>
          <w:t>/</w:t>
        </w:r>
        <w:r>
          <w:rPr>
            <w:rStyle w:val="ae"/>
            <w:sz w:val="27"/>
            <w:szCs w:val="27"/>
            <w:lang w:val="en-US"/>
          </w:rPr>
          <w:t>app</w:t>
        </w:r>
        <w:r>
          <w:rPr>
            <w:rStyle w:val="ae"/>
            <w:sz w:val="27"/>
            <w:szCs w:val="27"/>
            <w:lang w:val="uk-UA"/>
          </w:rPr>
          <w:t>/</w:t>
        </w:r>
        <w:r>
          <w:rPr>
            <w:rStyle w:val="ae"/>
            <w:sz w:val="27"/>
            <w:szCs w:val="27"/>
            <w:lang w:val="en-US"/>
          </w:rPr>
          <w:t>sites</w:t>
        </w:r>
        <w:r>
          <w:rPr>
            <w:rStyle w:val="ae"/>
            <w:sz w:val="27"/>
            <w:szCs w:val="27"/>
            <w:lang w:val="uk-UA"/>
          </w:rPr>
          <w:t>/1/</w:t>
        </w:r>
        <w:r>
          <w:rPr>
            <w:rStyle w:val="ae"/>
            <w:sz w:val="27"/>
            <w:szCs w:val="27"/>
            <w:lang w:val="en-US"/>
          </w:rPr>
          <w:t>Docs</w:t>
        </w:r>
        <w:r>
          <w:rPr>
            <w:rStyle w:val="ae"/>
            <w:sz w:val="27"/>
            <w:szCs w:val="27"/>
            <w:lang w:val="uk-UA"/>
          </w:rPr>
          <w:t>/</w:t>
        </w:r>
        <w:proofErr w:type="spellStart"/>
        <w:r>
          <w:rPr>
            <w:rStyle w:val="ae"/>
            <w:sz w:val="27"/>
            <w:szCs w:val="27"/>
            <w:lang w:val="en-US"/>
          </w:rPr>
          <w:t>Reestry</w:t>
        </w:r>
        <w:proofErr w:type="spellEnd"/>
        <w:r>
          <w:rPr>
            <w:rStyle w:val="ae"/>
            <w:sz w:val="27"/>
            <w:szCs w:val="27"/>
            <w:lang w:val="uk-UA"/>
          </w:rPr>
          <w:t>/</w:t>
        </w:r>
        <w:proofErr w:type="spellStart"/>
        <w:r>
          <w:rPr>
            <w:rStyle w:val="ae"/>
            <w:sz w:val="27"/>
            <w:szCs w:val="27"/>
            <w:lang w:val="en-US"/>
          </w:rPr>
          <w:t>reestr</w:t>
        </w:r>
        <w:proofErr w:type="spellEnd"/>
        <w:r>
          <w:rPr>
            <w:rStyle w:val="ae"/>
            <w:sz w:val="27"/>
            <w:szCs w:val="27"/>
            <w:lang w:val="uk-UA"/>
          </w:rPr>
          <w:t>_</w:t>
        </w:r>
        <w:proofErr w:type="spellStart"/>
        <w:r>
          <w:rPr>
            <w:rStyle w:val="ae"/>
            <w:sz w:val="27"/>
            <w:szCs w:val="27"/>
            <w:lang w:val="en-US"/>
          </w:rPr>
          <w:t>subektiv</w:t>
        </w:r>
        <w:proofErr w:type="spellEnd"/>
        <w:r>
          <w:rPr>
            <w:rStyle w:val="ae"/>
            <w:sz w:val="27"/>
            <w:szCs w:val="27"/>
            <w:lang w:val="uk-UA"/>
          </w:rPr>
          <w:t>_</w:t>
        </w:r>
        <w:proofErr w:type="spellStart"/>
        <w:r>
          <w:rPr>
            <w:rStyle w:val="ae"/>
            <w:sz w:val="27"/>
            <w:szCs w:val="27"/>
            <w:lang w:val="en-US"/>
          </w:rPr>
          <w:t>gospodoryvannia</w:t>
        </w:r>
        <w:proofErr w:type="spellEnd"/>
        <w:r>
          <w:rPr>
            <w:rStyle w:val="ae"/>
            <w:sz w:val="27"/>
            <w:szCs w:val="27"/>
            <w:lang w:val="uk-UA"/>
          </w:rPr>
          <w:t>/2024/</w:t>
        </w:r>
        <w:proofErr w:type="spellStart"/>
        <w:r>
          <w:rPr>
            <w:rStyle w:val="ae"/>
            <w:sz w:val="27"/>
            <w:szCs w:val="27"/>
            <w:lang w:val="en-US"/>
          </w:rPr>
          <w:t>Reestr</w:t>
        </w:r>
        <w:proofErr w:type="spellEnd"/>
        <w:r>
          <w:rPr>
            <w:rStyle w:val="ae"/>
            <w:sz w:val="27"/>
            <w:szCs w:val="27"/>
            <w:lang w:val="uk-UA"/>
          </w:rPr>
          <w:t>-</w:t>
        </w:r>
        <w:proofErr w:type="spellStart"/>
        <w:r>
          <w:rPr>
            <w:rStyle w:val="ae"/>
            <w:sz w:val="27"/>
            <w:szCs w:val="27"/>
            <w:lang w:val="en-US"/>
          </w:rPr>
          <w:t>subektiv</w:t>
        </w:r>
        <w:proofErr w:type="spellEnd"/>
        <w:r>
          <w:rPr>
            <w:rStyle w:val="ae"/>
            <w:sz w:val="27"/>
            <w:szCs w:val="27"/>
            <w:lang w:val="uk-UA"/>
          </w:rPr>
          <w:t>-</w:t>
        </w:r>
        <w:proofErr w:type="spellStart"/>
        <w:r>
          <w:rPr>
            <w:rStyle w:val="ae"/>
            <w:sz w:val="27"/>
            <w:szCs w:val="27"/>
            <w:lang w:val="en-US"/>
          </w:rPr>
          <w:t>gospodaruvannya</w:t>
        </w:r>
        <w:proofErr w:type="spellEnd"/>
        <w:r>
          <w:rPr>
            <w:rStyle w:val="ae"/>
            <w:sz w:val="27"/>
            <w:szCs w:val="27"/>
            <w:lang w:val="uk-UA"/>
          </w:rPr>
          <w:t>-</w:t>
        </w:r>
        <w:proofErr w:type="spellStart"/>
        <w:r>
          <w:rPr>
            <w:rStyle w:val="ae"/>
            <w:sz w:val="27"/>
            <w:szCs w:val="27"/>
            <w:lang w:val="en-US"/>
          </w:rPr>
          <w:t>yaki</w:t>
        </w:r>
        <w:proofErr w:type="spellEnd"/>
        <w:r>
          <w:rPr>
            <w:rStyle w:val="ae"/>
            <w:sz w:val="27"/>
            <w:szCs w:val="27"/>
            <w:lang w:val="uk-UA"/>
          </w:rPr>
          <w:t>-</w:t>
        </w:r>
        <w:proofErr w:type="spellStart"/>
        <w:r>
          <w:rPr>
            <w:rStyle w:val="ae"/>
            <w:sz w:val="27"/>
            <w:szCs w:val="27"/>
            <w:lang w:val="en-US"/>
          </w:rPr>
          <w:t>reguluutsya</w:t>
        </w:r>
        <w:proofErr w:type="spellEnd"/>
        <w:r>
          <w:rPr>
            <w:rStyle w:val="ae"/>
            <w:sz w:val="27"/>
            <w:szCs w:val="27"/>
            <w:lang w:val="uk-UA"/>
          </w:rPr>
          <w:t>%20</w:t>
        </w:r>
        <w:r>
          <w:rPr>
            <w:rStyle w:val="ae"/>
            <w:sz w:val="27"/>
            <w:szCs w:val="27"/>
            <w:lang w:val="en-US"/>
          </w:rPr>
          <w:t>NKREKP</w:t>
        </w:r>
        <w:r>
          <w:rPr>
            <w:rStyle w:val="ae"/>
            <w:sz w:val="27"/>
            <w:szCs w:val="27"/>
            <w:lang w:val="uk-UA"/>
          </w:rPr>
          <w:t>%2030.06.2024.</w:t>
        </w:r>
        <w:proofErr w:type="spellStart"/>
        <w:r>
          <w:rPr>
            <w:rStyle w:val="ae"/>
            <w:sz w:val="27"/>
            <w:szCs w:val="27"/>
            <w:lang w:val="en-US"/>
          </w:rPr>
          <w:t>xlsx</w:t>
        </w:r>
        <w:proofErr w:type="spellEnd"/>
      </w:hyperlink>
    </w:p>
    <w:p w14:paraId="1DAF62B3" w14:textId="77777777" w:rsidR="00447991" w:rsidRDefault="00FC54EF">
      <w:pPr>
        <w:jc w:val="both"/>
        <w:rPr>
          <w:sz w:val="27"/>
          <w:szCs w:val="27"/>
          <w:lang w:val="uk-UA"/>
        </w:rPr>
      </w:pPr>
      <w:r>
        <w:rPr>
          <w:sz w:val="27"/>
          <w:szCs w:val="27"/>
          <w:lang w:val="uk-UA"/>
        </w:rPr>
        <w:t xml:space="preserve">*** У зв’язку з інформацією, яка є закритою під час воєнного стану, розподіл суб’єктів господарювання на великі, середні та малі підприємства передбачено у відповідності до даних Державного комітету статистики  </w:t>
      </w:r>
    </w:p>
    <w:p w14:paraId="6C6A413F" w14:textId="77777777" w:rsidR="00447991" w:rsidRDefault="005D0E9F">
      <w:pPr>
        <w:jc w:val="both"/>
        <w:rPr>
          <w:sz w:val="27"/>
          <w:szCs w:val="27"/>
          <w:lang w:val="uk-UA"/>
        </w:rPr>
      </w:pPr>
      <w:hyperlink r:id="rId9" w:history="1">
        <w:r w:rsidR="00FC54EF">
          <w:rPr>
            <w:rStyle w:val="ae"/>
            <w:sz w:val="27"/>
            <w:szCs w:val="27"/>
            <w:lang w:val="uk-UA"/>
          </w:rPr>
          <w:t>https://www.ukrstat.gov.ua/operativ/menu/menu_u/sze_20.htm</w:t>
        </w:r>
      </w:hyperlink>
      <w:r w:rsidR="00FC54EF">
        <w:rPr>
          <w:sz w:val="27"/>
          <w:szCs w:val="27"/>
          <w:lang w:val="uk-UA"/>
        </w:rPr>
        <w:t xml:space="preserve">.  </w:t>
      </w:r>
    </w:p>
    <w:p w14:paraId="4355EE05" w14:textId="77777777" w:rsidR="00447991" w:rsidRDefault="00447991">
      <w:pPr>
        <w:tabs>
          <w:tab w:val="left" w:pos="720"/>
        </w:tabs>
        <w:jc w:val="both"/>
        <w:rPr>
          <w:sz w:val="20"/>
          <w:szCs w:val="20"/>
          <w:lang w:val="uk-UA"/>
        </w:rPr>
      </w:pPr>
    </w:p>
    <w:p w14:paraId="52991174" w14:textId="3C1740EF" w:rsidR="00447991" w:rsidRDefault="00FC54EF">
      <w:pPr>
        <w:ind w:firstLine="709"/>
        <w:jc w:val="both"/>
        <w:rPr>
          <w:color w:val="FF0000"/>
          <w:sz w:val="27"/>
          <w:szCs w:val="27"/>
          <w:lang w:val="uk-UA"/>
        </w:rPr>
      </w:pPr>
      <w:r>
        <w:rPr>
          <w:sz w:val="27"/>
          <w:szCs w:val="27"/>
          <w:lang w:val="uk-UA"/>
        </w:rPr>
        <w:t xml:space="preserve">Дія </w:t>
      </w:r>
      <w:proofErr w:type="spellStart"/>
      <w:r>
        <w:rPr>
          <w:sz w:val="27"/>
          <w:szCs w:val="27"/>
          <w:lang w:val="uk-UA"/>
        </w:rPr>
        <w:t>проєкту</w:t>
      </w:r>
      <w:proofErr w:type="spellEnd"/>
      <w:r>
        <w:rPr>
          <w:sz w:val="27"/>
          <w:szCs w:val="27"/>
          <w:lang w:val="uk-UA"/>
        </w:rPr>
        <w:t xml:space="preserve"> постанови розповсюджується на суб’єктів господарювання, які провадять господарську діяльність в галузі електроенергетики – здійснюють постачання електричної енергії на об’єкти споживачів електричної енергії, обмеження, відключення яких може спричинити настання надзвичайної ситуації техногенного характеру, а саме такі об’єкти з переліку наступних підприємств: вугледобувні підприємства державної форми власності; підприємства централізованого водопостачання та водовідведення всіх форм власності; підприємства державної та комунальної форм власності, які забезпечують надання теплової енергії та комунальних послуг, за виключенням тих, які провадять господарську діяльність з виробництва електричної енергії. </w:t>
      </w:r>
    </w:p>
    <w:p w14:paraId="553F6E99" w14:textId="77777777" w:rsidR="00447991" w:rsidRDefault="00447991">
      <w:pPr>
        <w:tabs>
          <w:tab w:val="left" w:pos="720"/>
        </w:tabs>
        <w:jc w:val="both"/>
        <w:rPr>
          <w:sz w:val="27"/>
          <w:szCs w:val="27"/>
          <w:lang w:val="uk-UA" w:eastAsia="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3686"/>
        <w:gridCol w:w="3118"/>
      </w:tblGrid>
      <w:tr w:rsidR="00447991" w14:paraId="5255194A" w14:textId="77777777">
        <w:tc>
          <w:tcPr>
            <w:tcW w:w="2722" w:type="dxa"/>
            <w:shd w:val="clear" w:color="auto" w:fill="auto"/>
            <w:vAlign w:val="center"/>
          </w:tcPr>
          <w:p w14:paraId="7D82CD27" w14:textId="77777777" w:rsidR="00447991" w:rsidRDefault="00FC54EF">
            <w:pPr>
              <w:jc w:val="center"/>
              <w:textAlignment w:val="baseline"/>
              <w:rPr>
                <w:b/>
                <w:lang w:val="uk-UA" w:eastAsia="uk-UA"/>
              </w:rPr>
            </w:pPr>
            <w:bookmarkStart w:id="0" w:name="n131"/>
            <w:bookmarkStart w:id="1" w:name="n132"/>
            <w:bookmarkStart w:id="2" w:name="n141"/>
            <w:bookmarkEnd w:id="0"/>
            <w:bookmarkEnd w:id="1"/>
            <w:bookmarkEnd w:id="2"/>
            <w:r>
              <w:rPr>
                <w:b/>
                <w:lang w:val="uk-UA" w:eastAsia="uk-UA"/>
              </w:rPr>
              <w:t>Вид альтернативи</w:t>
            </w:r>
          </w:p>
        </w:tc>
        <w:tc>
          <w:tcPr>
            <w:tcW w:w="3686" w:type="dxa"/>
            <w:shd w:val="clear" w:color="auto" w:fill="auto"/>
            <w:vAlign w:val="center"/>
          </w:tcPr>
          <w:p w14:paraId="1E054EC0" w14:textId="77777777" w:rsidR="00447991" w:rsidRDefault="00FC54EF">
            <w:pPr>
              <w:jc w:val="center"/>
              <w:textAlignment w:val="baseline"/>
              <w:rPr>
                <w:b/>
                <w:spacing w:val="-4"/>
                <w:lang w:val="uk-UA" w:eastAsia="uk-UA"/>
              </w:rPr>
            </w:pPr>
            <w:r>
              <w:rPr>
                <w:b/>
                <w:spacing w:val="-4"/>
                <w:lang w:val="uk-UA" w:eastAsia="uk-UA"/>
              </w:rPr>
              <w:t>Вигоди</w:t>
            </w:r>
          </w:p>
        </w:tc>
        <w:tc>
          <w:tcPr>
            <w:tcW w:w="3118" w:type="dxa"/>
            <w:shd w:val="clear" w:color="auto" w:fill="auto"/>
            <w:vAlign w:val="center"/>
          </w:tcPr>
          <w:p w14:paraId="4CAADFB6" w14:textId="77777777" w:rsidR="00447991" w:rsidRDefault="00FC54EF">
            <w:pPr>
              <w:jc w:val="center"/>
              <w:textAlignment w:val="baseline"/>
              <w:rPr>
                <w:b/>
                <w:spacing w:val="-4"/>
                <w:lang w:val="uk-UA" w:eastAsia="uk-UA"/>
              </w:rPr>
            </w:pPr>
            <w:r>
              <w:rPr>
                <w:b/>
                <w:spacing w:val="-4"/>
                <w:lang w:val="uk-UA" w:eastAsia="uk-UA"/>
              </w:rPr>
              <w:t>Витрати</w:t>
            </w:r>
          </w:p>
        </w:tc>
      </w:tr>
      <w:tr w:rsidR="00447991" w14:paraId="17D786E5" w14:textId="77777777">
        <w:tc>
          <w:tcPr>
            <w:tcW w:w="2722" w:type="dxa"/>
            <w:shd w:val="clear" w:color="auto" w:fill="auto"/>
          </w:tcPr>
          <w:p w14:paraId="25B8135C" w14:textId="77777777" w:rsidR="00447991" w:rsidRDefault="00FC54EF">
            <w:pPr>
              <w:textAlignment w:val="baseline"/>
              <w:rPr>
                <w:bCs/>
                <w:lang w:val="uk-UA"/>
              </w:rPr>
            </w:pPr>
            <w:r>
              <w:rPr>
                <w:lang w:val="uk-UA"/>
              </w:rPr>
              <w:t xml:space="preserve">Прийняття </w:t>
            </w:r>
            <w:proofErr w:type="spellStart"/>
            <w:r>
              <w:rPr>
                <w:bCs/>
                <w:lang w:val="uk-UA"/>
              </w:rPr>
              <w:t>проєкту</w:t>
            </w:r>
            <w:proofErr w:type="spellEnd"/>
            <w:r>
              <w:rPr>
                <w:bCs/>
                <w:lang w:val="uk-UA"/>
              </w:rPr>
              <w:t xml:space="preserve">  постанови </w:t>
            </w:r>
          </w:p>
          <w:p w14:paraId="21CB8458" w14:textId="77777777" w:rsidR="00447991" w:rsidRDefault="00447991">
            <w:pPr>
              <w:textAlignment w:val="baseline"/>
              <w:rPr>
                <w:lang w:val="uk-UA"/>
              </w:rPr>
            </w:pPr>
          </w:p>
        </w:tc>
        <w:tc>
          <w:tcPr>
            <w:tcW w:w="3686" w:type="dxa"/>
            <w:shd w:val="clear" w:color="auto" w:fill="auto"/>
          </w:tcPr>
          <w:p w14:paraId="17A0E83B" w14:textId="77777777" w:rsidR="00447991" w:rsidRDefault="00FC54EF">
            <w:pPr>
              <w:ind w:right="-2"/>
              <w:jc w:val="both"/>
              <w:rPr>
                <w:bdr w:val="none" w:sz="0" w:space="0" w:color="auto" w:frame="1"/>
                <w:lang w:val="uk-UA"/>
              </w:rPr>
            </w:pPr>
            <w:r>
              <w:rPr>
                <w:bdr w:val="none" w:sz="0" w:space="0" w:color="auto" w:frame="1"/>
                <w:lang w:val="uk-UA"/>
              </w:rPr>
              <w:t>Стабільність та прогнозованість електропостачання, зменшення рівня заборгованості</w:t>
            </w:r>
          </w:p>
        </w:tc>
        <w:tc>
          <w:tcPr>
            <w:tcW w:w="3118" w:type="dxa"/>
            <w:shd w:val="clear" w:color="auto" w:fill="auto"/>
          </w:tcPr>
          <w:p w14:paraId="12F9E51F" w14:textId="77777777" w:rsidR="00447991" w:rsidRDefault="00FC54EF">
            <w:pPr>
              <w:ind w:right="-2"/>
              <w:jc w:val="both"/>
              <w:rPr>
                <w:spacing w:val="-4"/>
                <w:lang w:val="uk-UA" w:eastAsia="uk-UA"/>
              </w:rPr>
            </w:pPr>
            <w:r>
              <w:rPr>
                <w:bdr w:val="none" w:sz="0" w:space="0" w:color="auto" w:frame="1"/>
                <w:lang w:val="uk-UA"/>
              </w:rPr>
              <w:t>Збільшення обсягу коштів, який буде спрямовуватися на оплату електричної енергії та супутні послуги</w:t>
            </w:r>
          </w:p>
        </w:tc>
      </w:tr>
      <w:tr w:rsidR="00447991" w14:paraId="21F6D4FB" w14:textId="77777777">
        <w:tc>
          <w:tcPr>
            <w:tcW w:w="2722" w:type="dxa"/>
            <w:shd w:val="clear" w:color="auto" w:fill="auto"/>
          </w:tcPr>
          <w:p w14:paraId="425EAE3F" w14:textId="77777777" w:rsidR="00447991" w:rsidRDefault="00FC54EF">
            <w:pPr>
              <w:textAlignment w:val="baseline"/>
              <w:rPr>
                <w:lang w:val="uk-UA"/>
              </w:rPr>
            </w:pPr>
            <w:r>
              <w:rPr>
                <w:lang w:val="uk-UA"/>
              </w:rPr>
              <w:t>Залишення існуючої ситуації без змін</w:t>
            </w:r>
          </w:p>
        </w:tc>
        <w:tc>
          <w:tcPr>
            <w:tcW w:w="3686" w:type="dxa"/>
            <w:shd w:val="clear" w:color="auto" w:fill="auto"/>
          </w:tcPr>
          <w:p w14:paraId="454F836C" w14:textId="77777777" w:rsidR="00447991" w:rsidRDefault="00FC54EF">
            <w:pPr>
              <w:textAlignment w:val="baseline"/>
              <w:rPr>
                <w:spacing w:val="-4"/>
                <w:lang w:val="uk-UA" w:eastAsia="uk-UA"/>
              </w:rPr>
            </w:pPr>
            <w:r>
              <w:rPr>
                <w:lang w:val="uk-UA" w:eastAsia="uk-UA"/>
              </w:rPr>
              <w:t xml:space="preserve">Спрямування меншого обсягу на покриття заборгованості для забезпечення електропостачання   </w:t>
            </w:r>
          </w:p>
        </w:tc>
        <w:tc>
          <w:tcPr>
            <w:tcW w:w="3118" w:type="dxa"/>
            <w:shd w:val="clear" w:color="auto" w:fill="auto"/>
          </w:tcPr>
          <w:p w14:paraId="1671AC97" w14:textId="77777777" w:rsidR="00447991" w:rsidRDefault="00FC54EF">
            <w:pPr>
              <w:jc w:val="both"/>
              <w:textAlignment w:val="baseline"/>
              <w:rPr>
                <w:spacing w:val="-4"/>
                <w:lang w:val="uk-UA" w:eastAsia="uk-UA"/>
              </w:rPr>
            </w:pPr>
            <w:r>
              <w:rPr>
                <w:spacing w:val="-4"/>
                <w:lang w:val="uk-UA" w:eastAsia="uk-UA"/>
              </w:rPr>
              <w:t>Загроза вимкнення електропостачання, ліквідація наслідків надзвичайних ситуацій техногенного характеру</w:t>
            </w:r>
          </w:p>
        </w:tc>
      </w:tr>
    </w:tbl>
    <w:p w14:paraId="15555689" w14:textId="77777777" w:rsidR="00447991" w:rsidRDefault="00447991">
      <w:pPr>
        <w:ind w:firstLine="567"/>
        <w:rPr>
          <w:sz w:val="27"/>
          <w:szCs w:val="27"/>
          <w:lang w:val="uk-UA"/>
        </w:rPr>
      </w:pPr>
    </w:p>
    <w:p w14:paraId="05E585D6" w14:textId="77777777" w:rsidR="00447991" w:rsidRDefault="00FC54EF">
      <w:pPr>
        <w:ind w:firstLine="567"/>
        <w:jc w:val="center"/>
        <w:rPr>
          <w:b/>
          <w:sz w:val="27"/>
          <w:szCs w:val="27"/>
          <w:lang w:val="uk-UA"/>
        </w:rPr>
      </w:pPr>
      <w:r>
        <w:rPr>
          <w:b/>
          <w:sz w:val="27"/>
          <w:szCs w:val="27"/>
          <w:lang w:val="uk-UA"/>
        </w:rPr>
        <w:t>Сумарні витрати суб’єктів господарювання великого і середнього підприємництва у перший рік за альтернативами</w:t>
      </w:r>
    </w:p>
    <w:p w14:paraId="514C21D5" w14:textId="77777777" w:rsidR="00447991" w:rsidRDefault="00447991">
      <w:pPr>
        <w:ind w:firstLine="567"/>
        <w:jc w:val="center"/>
        <w:rPr>
          <w:b/>
          <w:sz w:val="27"/>
          <w:szCs w:val="27"/>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0"/>
        <w:gridCol w:w="5376"/>
      </w:tblGrid>
      <w:tr w:rsidR="00447991" w14:paraId="4D61FA1F" w14:textId="77777777">
        <w:tc>
          <w:tcPr>
            <w:tcW w:w="4150" w:type="dxa"/>
            <w:shd w:val="clear" w:color="auto" w:fill="auto"/>
            <w:vAlign w:val="center"/>
          </w:tcPr>
          <w:p w14:paraId="70BABFF8" w14:textId="77777777" w:rsidR="00447991" w:rsidRDefault="00FC54EF">
            <w:pPr>
              <w:jc w:val="center"/>
              <w:textAlignment w:val="baseline"/>
              <w:rPr>
                <w:b/>
                <w:lang w:val="uk-UA" w:eastAsia="uk-UA"/>
              </w:rPr>
            </w:pPr>
            <w:r>
              <w:rPr>
                <w:b/>
                <w:lang w:val="uk-UA" w:eastAsia="uk-UA"/>
              </w:rPr>
              <w:t>Сумарні витрати за альтернативами</w:t>
            </w:r>
          </w:p>
        </w:tc>
        <w:tc>
          <w:tcPr>
            <w:tcW w:w="5376" w:type="dxa"/>
            <w:shd w:val="clear" w:color="auto" w:fill="auto"/>
            <w:vAlign w:val="center"/>
          </w:tcPr>
          <w:p w14:paraId="476373E5" w14:textId="77777777" w:rsidR="00447991" w:rsidRDefault="00FC54EF">
            <w:pPr>
              <w:jc w:val="center"/>
              <w:textAlignment w:val="baseline"/>
              <w:rPr>
                <w:b/>
                <w:lang w:val="uk-UA" w:eastAsia="uk-UA"/>
              </w:rPr>
            </w:pPr>
            <w:r>
              <w:rPr>
                <w:b/>
                <w:lang w:val="uk-UA" w:eastAsia="uk-UA"/>
              </w:rPr>
              <w:t>Сума витрат, гривень</w:t>
            </w:r>
          </w:p>
        </w:tc>
      </w:tr>
      <w:tr w:rsidR="00447991" w14:paraId="035B204F" w14:textId="77777777">
        <w:trPr>
          <w:trHeight w:val="477"/>
        </w:trPr>
        <w:tc>
          <w:tcPr>
            <w:tcW w:w="4150" w:type="dxa"/>
            <w:shd w:val="clear" w:color="auto" w:fill="auto"/>
          </w:tcPr>
          <w:p w14:paraId="42C5609C" w14:textId="77777777" w:rsidR="00447991" w:rsidRDefault="00FC54EF">
            <w:pPr>
              <w:ind w:right="-2"/>
              <w:jc w:val="center"/>
              <w:rPr>
                <w:lang w:val="uk-UA" w:eastAsia="uk-UA"/>
              </w:rPr>
            </w:pPr>
            <w:r>
              <w:rPr>
                <w:lang w:val="uk-UA" w:eastAsia="uk-UA"/>
              </w:rPr>
              <w:t>Альтернатива 1.</w:t>
            </w:r>
          </w:p>
          <w:p w14:paraId="29182959" w14:textId="77777777" w:rsidR="00447991" w:rsidRDefault="00FC54EF">
            <w:pPr>
              <w:ind w:right="-2"/>
              <w:jc w:val="center"/>
              <w:rPr>
                <w:lang w:val="uk-UA" w:eastAsia="uk-UA"/>
              </w:rPr>
            </w:pPr>
            <w:r>
              <w:rPr>
                <w:lang w:val="uk-UA" w:eastAsia="uk-UA"/>
              </w:rPr>
              <w:t xml:space="preserve">Прийняття </w:t>
            </w:r>
            <w:proofErr w:type="spellStart"/>
            <w:r>
              <w:rPr>
                <w:lang w:val="uk-UA" w:eastAsia="uk-UA"/>
              </w:rPr>
              <w:t>проєкту</w:t>
            </w:r>
            <w:proofErr w:type="spellEnd"/>
            <w:r>
              <w:rPr>
                <w:lang w:val="uk-UA" w:eastAsia="uk-UA"/>
              </w:rPr>
              <w:t xml:space="preserve">  постанови </w:t>
            </w:r>
          </w:p>
        </w:tc>
        <w:tc>
          <w:tcPr>
            <w:tcW w:w="5376" w:type="dxa"/>
            <w:shd w:val="clear" w:color="auto" w:fill="auto"/>
          </w:tcPr>
          <w:p w14:paraId="1EF70BA8" w14:textId="77777777" w:rsidR="00447991" w:rsidRDefault="00447991">
            <w:pPr>
              <w:jc w:val="center"/>
              <w:textAlignment w:val="baseline"/>
              <w:rPr>
                <w:lang w:val="uk-UA"/>
              </w:rPr>
            </w:pPr>
          </w:p>
          <w:p w14:paraId="0686FB16" w14:textId="77777777" w:rsidR="00447991" w:rsidRDefault="00FC54EF">
            <w:pPr>
              <w:jc w:val="center"/>
              <w:textAlignment w:val="baseline"/>
              <w:rPr>
                <w:lang w:val="uk-UA"/>
              </w:rPr>
            </w:pPr>
            <w:r>
              <w:rPr>
                <w:lang w:val="uk-UA"/>
              </w:rPr>
              <w:t>536 544,00 грн.</w:t>
            </w:r>
          </w:p>
        </w:tc>
      </w:tr>
      <w:tr w:rsidR="00447991" w14:paraId="4D323AA7" w14:textId="77777777">
        <w:tc>
          <w:tcPr>
            <w:tcW w:w="4150" w:type="dxa"/>
            <w:shd w:val="clear" w:color="auto" w:fill="auto"/>
          </w:tcPr>
          <w:p w14:paraId="59F33BB5" w14:textId="77777777" w:rsidR="00447991" w:rsidRDefault="00FC54EF">
            <w:pPr>
              <w:jc w:val="center"/>
              <w:textAlignment w:val="baseline"/>
              <w:rPr>
                <w:lang w:val="uk-UA" w:eastAsia="uk-UA"/>
              </w:rPr>
            </w:pPr>
            <w:r>
              <w:rPr>
                <w:lang w:val="uk-UA" w:eastAsia="uk-UA"/>
              </w:rPr>
              <w:t>Альтернатива 2.</w:t>
            </w:r>
          </w:p>
          <w:p w14:paraId="634673C1" w14:textId="77777777" w:rsidR="00447991" w:rsidRDefault="00FC54EF">
            <w:pPr>
              <w:jc w:val="center"/>
              <w:textAlignment w:val="baseline"/>
              <w:rPr>
                <w:lang w:val="uk-UA" w:eastAsia="uk-UA"/>
              </w:rPr>
            </w:pPr>
            <w:r>
              <w:rPr>
                <w:lang w:val="uk-UA" w:eastAsia="uk-UA"/>
              </w:rPr>
              <w:t>Залишення існуючої ситуації без змін</w:t>
            </w:r>
          </w:p>
          <w:p w14:paraId="20D3ADA0" w14:textId="77777777" w:rsidR="00447991" w:rsidRDefault="00447991">
            <w:pPr>
              <w:jc w:val="center"/>
              <w:textAlignment w:val="baseline"/>
              <w:rPr>
                <w:lang w:val="uk-UA" w:eastAsia="uk-UA"/>
              </w:rPr>
            </w:pPr>
          </w:p>
        </w:tc>
        <w:tc>
          <w:tcPr>
            <w:tcW w:w="5376" w:type="dxa"/>
            <w:shd w:val="clear" w:color="auto" w:fill="auto"/>
          </w:tcPr>
          <w:p w14:paraId="73B885EC" w14:textId="77777777" w:rsidR="00447991" w:rsidRDefault="00447991">
            <w:pPr>
              <w:ind w:hanging="5"/>
              <w:jc w:val="center"/>
              <w:textAlignment w:val="baseline"/>
              <w:rPr>
                <w:spacing w:val="-4"/>
                <w:lang w:val="uk-UA" w:eastAsia="uk-UA"/>
              </w:rPr>
            </w:pPr>
          </w:p>
          <w:p w14:paraId="08F6B4C9" w14:textId="77777777" w:rsidR="00447991" w:rsidRDefault="00FC54EF">
            <w:pPr>
              <w:ind w:hanging="5"/>
              <w:jc w:val="center"/>
              <w:textAlignment w:val="baseline"/>
              <w:rPr>
                <w:spacing w:val="-4"/>
                <w:lang w:val="uk-UA" w:eastAsia="uk-UA"/>
              </w:rPr>
            </w:pPr>
            <w:r>
              <w:rPr>
                <w:spacing w:val="-4"/>
                <w:lang w:val="uk-UA" w:eastAsia="uk-UA"/>
              </w:rPr>
              <w:t>877 440,00 грн</w:t>
            </w:r>
          </w:p>
          <w:p w14:paraId="7B8234D8" w14:textId="77777777" w:rsidR="00447991" w:rsidRDefault="00447991">
            <w:pPr>
              <w:ind w:hanging="5"/>
              <w:jc w:val="center"/>
              <w:textAlignment w:val="baseline"/>
              <w:rPr>
                <w:spacing w:val="-4"/>
                <w:lang w:val="uk-UA" w:eastAsia="uk-UA"/>
              </w:rPr>
            </w:pPr>
          </w:p>
        </w:tc>
      </w:tr>
    </w:tbl>
    <w:p w14:paraId="1B00FFFF" w14:textId="77777777" w:rsidR="00447991" w:rsidRDefault="00447991">
      <w:pPr>
        <w:tabs>
          <w:tab w:val="left" w:pos="1701"/>
        </w:tabs>
        <w:ind w:right="203"/>
        <w:jc w:val="both"/>
        <w:rPr>
          <w:b/>
          <w:sz w:val="27"/>
          <w:szCs w:val="27"/>
          <w:lang w:val="uk-UA"/>
        </w:rPr>
      </w:pPr>
    </w:p>
    <w:p w14:paraId="10699F9F" w14:textId="77777777" w:rsidR="00447991" w:rsidRDefault="00FC54EF">
      <w:pPr>
        <w:ind w:right="-1" w:firstLine="708"/>
        <w:jc w:val="center"/>
        <w:rPr>
          <w:b/>
          <w:sz w:val="27"/>
          <w:szCs w:val="27"/>
          <w:lang w:val="uk-UA"/>
        </w:rPr>
      </w:pPr>
      <w:r>
        <w:rPr>
          <w:b/>
          <w:sz w:val="27"/>
          <w:szCs w:val="27"/>
          <w:lang w:val="uk-UA"/>
        </w:rPr>
        <w:t>І</w:t>
      </w:r>
      <w:r>
        <w:rPr>
          <w:b/>
          <w:sz w:val="27"/>
          <w:szCs w:val="27"/>
          <w:lang w:val="en-US"/>
        </w:rPr>
        <w:t>V</w:t>
      </w:r>
      <w:r>
        <w:rPr>
          <w:b/>
          <w:sz w:val="27"/>
          <w:szCs w:val="27"/>
        </w:rPr>
        <w:t xml:space="preserve">. </w:t>
      </w:r>
      <w:r>
        <w:rPr>
          <w:b/>
          <w:sz w:val="27"/>
          <w:szCs w:val="27"/>
          <w:lang w:val="uk-UA"/>
        </w:rPr>
        <w:t>Вибір найбільш оптимального альтернативного способу досягнення цілей</w:t>
      </w:r>
    </w:p>
    <w:p w14:paraId="3F1D6344" w14:textId="77777777" w:rsidR="00447991" w:rsidRDefault="00447991">
      <w:pPr>
        <w:ind w:right="-1" w:firstLine="708"/>
        <w:jc w:val="center"/>
        <w:rPr>
          <w:b/>
          <w:sz w:val="27"/>
          <w:szCs w:val="27"/>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1843"/>
        <w:gridCol w:w="5208"/>
      </w:tblGrid>
      <w:tr w:rsidR="00447991" w14:paraId="341572E5" w14:textId="77777777">
        <w:tc>
          <w:tcPr>
            <w:tcW w:w="2475" w:type="dxa"/>
            <w:tcBorders>
              <w:bottom w:val="single" w:sz="4" w:space="0" w:color="auto"/>
            </w:tcBorders>
            <w:vAlign w:val="center"/>
          </w:tcPr>
          <w:p w14:paraId="6575ECA3" w14:textId="77777777" w:rsidR="00447991" w:rsidRDefault="00FC54EF">
            <w:pPr>
              <w:jc w:val="center"/>
              <w:textAlignment w:val="baseline"/>
              <w:rPr>
                <w:b/>
                <w:lang w:val="uk-UA" w:eastAsia="uk-UA"/>
              </w:rPr>
            </w:pPr>
            <w:r>
              <w:rPr>
                <w:b/>
                <w:lang w:val="uk-UA" w:eastAsia="uk-UA"/>
              </w:rPr>
              <w:t>Рейтинг результативності (досягнення цілей під час вирішення проблеми)</w:t>
            </w:r>
          </w:p>
        </w:tc>
        <w:tc>
          <w:tcPr>
            <w:tcW w:w="1843" w:type="dxa"/>
            <w:tcBorders>
              <w:bottom w:val="single" w:sz="4" w:space="0" w:color="auto"/>
            </w:tcBorders>
            <w:shd w:val="clear" w:color="auto" w:fill="auto"/>
          </w:tcPr>
          <w:p w14:paraId="7804073F" w14:textId="77777777" w:rsidR="00447991" w:rsidRDefault="00FC54EF">
            <w:pPr>
              <w:jc w:val="center"/>
              <w:textAlignment w:val="baseline"/>
              <w:rPr>
                <w:b/>
                <w:lang w:val="uk-UA" w:eastAsia="uk-UA"/>
              </w:rPr>
            </w:pPr>
            <w:r>
              <w:rPr>
                <w:b/>
                <w:lang w:val="uk-UA" w:eastAsia="uk-UA"/>
              </w:rPr>
              <w:t xml:space="preserve">Бал </w:t>
            </w:r>
            <w:proofErr w:type="spellStart"/>
            <w:r>
              <w:rPr>
                <w:b/>
                <w:lang w:val="uk-UA" w:eastAsia="uk-UA"/>
              </w:rPr>
              <w:t>результа-тивності</w:t>
            </w:r>
            <w:proofErr w:type="spellEnd"/>
            <w:r>
              <w:rPr>
                <w:b/>
                <w:lang w:val="uk-UA" w:eastAsia="uk-UA"/>
              </w:rPr>
              <w:br/>
              <w:t>(за чотири-бальною системою оцінки)</w:t>
            </w:r>
          </w:p>
        </w:tc>
        <w:tc>
          <w:tcPr>
            <w:tcW w:w="5208" w:type="dxa"/>
            <w:shd w:val="clear" w:color="auto" w:fill="auto"/>
            <w:vAlign w:val="center"/>
          </w:tcPr>
          <w:p w14:paraId="4D96FA84" w14:textId="77777777" w:rsidR="00447991" w:rsidRDefault="00FC54EF">
            <w:pPr>
              <w:jc w:val="center"/>
              <w:textAlignment w:val="baseline"/>
              <w:rPr>
                <w:b/>
                <w:lang w:val="uk-UA" w:eastAsia="uk-UA"/>
              </w:rPr>
            </w:pPr>
            <w:r>
              <w:rPr>
                <w:b/>
                <w:lang w:val="uk-UA" w:eastAsia="uk-UA"/>
              </w:rPr>
              <w:t xml:space="preserve">Коментарі щодо присвоєння відповідного </w:t>
            </w:r>
            <w:proofErr w:type="spellStart"/>
            <w:r>
              <w:rPr>
                <w:b/>
                <w:lang w:val="uk-UA" w:eastAsia="uk-UA"/>
              </w:rPr>
              <w:t>бала</w:t>
            </w:r>
            <w:proofErr w:type="spellEnd"/>
          </w:p>
        </w:tc>
      </w:tr>
      <w:tr w:rsidR="00447991" w14:paraId="5EC46C00" w14:textId="77777777">
        <w:trPr>
          <w:trHeight w:val="722"/>
        </w:trPr>
        <w:tc>
          <w:tcPr>
            <w:tcW w:w="2475" w:type="dxa"/>
          </w:tcPr>
          <w:p w14:paraId="35E585F9" w14:textId="77777777" w:rsidR="00447991" w:rsidRDefault="00FC54EF">
            <w:pPr>
              <w:textAlignment w:val="baseline"/>
              <w:rPr>
                <w:lang w:val="uk-UA" w:eastAsia="uk-UA"/>
              </w:rPr>
            </w:pPr>
            <w:r>
              <w:rPr>
                <w:lang w:val="uk-UA"/>
              </w:rPr>
              <w:t xml:space="preserve">Прийняття </w:t>
            </w:r>
            <w:proofErr w:type="spellStart"/>
            <w:r>
              <w:rPr>
                <w:bCs/>
                <w:lang w:val="uk-UA"/>
              </w:rPr>
              <w:t>проєкту</w:t>
            </w:r>
            <w:proofErr w:type="spellEnd"/>
            <w:r>
              <w:rPr>
                <w:bCs/>
                <w:lang w:val="uk-UA"/>
              </w:rPr>
              <w:t xml:space="preserve">  постанови </w:t>
            </w:r>
          </w:p>
        </w:tc>
        <w:tc>
          <w:tcPr>
            <w:tcW w:w="1843" w:type="dxa"/>
            <w:shd w:val="clear" w:color="auto" w:fill="auto"/>
          </w:tcPr>
          <w:p w14:paraId="41515F93" w14:textId="77777777" w:rsidR="00447991" w:rsidRDefault="00FC54EF">
            <w:pPr>
              <w:jc w:val="center"/>
              <w:textAlignment w:val="baseline"/>
              <w:rPr>
                <w:lang w:val="uk-UA" w:eastAsia="uk-UA"/>
              </w:rPr>
            </w:pPr>
            <w:r>
              <w:rPr>
                <w:lang w:val="uk-UA" w:eastAsia="uk-UA"/>
              </w:rPr>
              <w:t>4</w:t>
            </w:r>
          </w:p>
        </w:tc>
        <w:tc>
          <w:tcPr>
            <w:tcW w:w="5208" w:type="dxa"/>
            <w:shd w:val="clear" w:color="auto" w:fill="auto"/>
          </w:tcPr>
          <w:p w14:paraId="69CC5421" w14:textId="5C4A9D74" w:rsidR="00447991" w:rsidRDefault="00FC54EF">
            <w:pPr>
              <w:jc w:val="both"/>
              <w:textAlignment w:val="baseline"/>
              <w:rPr>
                <w:lang w:val="uk-UA" w:eastAsia="uk-UA"/>
              </w:rPr>
            </w:pPr>
            <w:r>
              <w:rPr>
                <w:lang w:val="uk-UA" w:eastAsia="uk-UA"/>
              </w:rPr>
              <w:t xml:space="preserve">Цілі прийняття </w:t>
            </w:r>
            <w:proofErr w:type="spellStart"/>
            <w:r>
              <w:rPr>
                <w:bCs/>
                <w:lang w:val="uk-UA"/>
              </w:rPr>
              <w:t>проєкту</w:t>
            </w:r>
            <w:proofErr w:type="spellEnd"/>
            <w:r>
              <w:rPr>
                <w:bCs/>
                <w:lang w:val="uk-UA"/>
              </w:rPr>
              <w:t xml:space="preserve"> постанови </w:t>
            </w:r>
            <w:r>
              <w:rPr>
                <w:lang w:val="uk-UA" w:eastAsia="uk-UA"/>
              </w:rPr>
              <w:t xml:space="preserve">будуть досягнуті повною мірою. Проблема існувати не буде, що дозволить зупинити нарощування заборгованості на ринку електричної енергії, забезпечити будівництво нових генеруючих </w:t>
            </w:r>
            <w:proofErr w:type="spellStart"/>
            <w:r>
              <w:rPr>
                <w:lang w:val="uk-UA" w:eastAsia="uk-UA"/>
              </w:rPr>
              <w:t>потужностей</w:t>
            </w:r>
            <w:proofErr w:type="spellEnd"/>
            <w:r>
              <w:rPr>
                <w:lang w:val="uk-UA" w:eastAsia="uk-UA"/>
              </w:rPr>
              <w:t xml:space="preserve">, запобігти в повній мірі виникненню надзвичайних ситуацій техногенного характеру.        </w:t>
            </w:r>
          </w:p>
        </w:tc>
      </w:tr>
      <w:tr w:rsidR="00447991" w14:paraId="3003D118" w14:textId="77777777">
        <w:trPr>
          <w:trHeight w:val="1124"/>
        </w:trPr>
        <w:tc>
          <w:tcPr>
            <w:tcW w:w="2475" w:type="dxa"/>
          </w:tcPr>
          <w:p w14:paraId="30701910" w14:textId="77777777" w:rsidR="00447991" w:rsidRDefault="00FC54EF">
            <w:pPr>
              <w:textAlignment w:val="baseline"/>
              <w:rPr>
                <w:lang w:val="uk-UA" w:eastAsia="uk-UA"/>
              </w:rPr>
            </w:pPr>
            <w:r>
              <w:rPr>
                <w:bCs/>
                <w:lang w:val="uk-UA"/>
              </w:rPr>
              <w:t>Залишення існуючої ситуації без змін</w:t>
            </w:r>
          </w:p>
        </w:tc>
        <w:tc>
          <w:tcPr>
            <w:tcW w:w="1843" w:type="dxa"/>
            <w:shd w:val="clear" w:color="auto" w:fill="auto"/>
          </w:tcPr>
          <w:p w14:paraId="577E4537" w14:textId="77777777" w:rsidR="00447991" w:rsidRDefault="00FC54EF">
            <w:pPr>
              <w:jc w:val="center"/>
              <w:textAlignment w:val="baseline"/>
              <w:rPr>
                <w:lang w:val="uk-UA" w:eastAsia="uk-UA"/>
              </w:rPr>
            </w:pPr>
            <w:r>
              <w:rPr>
                <w:lang w:val="uk-UA" w:eastAsia="uk-UA"/>
              </w:rPr>
              <w:t>1</w:t>
            </w:r>
          </w:p>
        </w:tc>
        <w:tc>
          <w:tcPr>
            <w:tcW w:w="5208" w:type="dxa"/>
            <w:shd w:val="clear" w:color="auto" w:fill="auto"/>
          </w:tcPr>
          <w:p w14:paraId="223236FC" w14:textId="77777777" w:rsidR="00447991" w:rsidRDefault="00FC54EF">
            <w:pPr>
              <w:jc w:val="both"/>
              <w:textAlignment w:val="baseline"/>
              <w:rPr>
                <w:lang w:val="uk-UA" w:eastAsia="uk-UA"/>
              </w:rPr>
            </w:pPr>
            <w:r>
              <w:rPr>
                <w:lang w:val="uk-UA" w:eastAsia="uk-UA"/>
              </w:rPr>
              <w:t>Проблема залишиться невирішеною.</w:t>
            </w:r>
          </w:p>
          <w:p w14:paraId="7B741984" w14:textId="77777777" w:rsidR="00447991" w:rsidRDefault="00FC54EF">
            <w:pPr>
              <w:jc w:val="both"/>
              <w:textAlignment w:val="baseline"/>
              <w:rPr>
                <w:lang w:val="uk-UA" w:eastAsia="uk-UA"/>
              </w:rPr>
            </w:pPr>
            <w:r>
              <w:rPr>
                <w:lang w:val="uk-UA" w:eastAsia="uk-UA"/>
              </w:rPr>
              <w:t>Несе загрозу для сталого функціонування  ринку електричної енергії та збільшує ризики виникнення надзвичайних ситуацій техногенного характеру.</w:t>
            </w:r>
          </w:p>
        </w:tc>
      </w:tr>
    </w:tbl>
    <w:p w14:paraId="1D794E2D" w14:textId="77777777" w:rsidR="00447991" w:rsidRDefault="00447991">
      <w:pPr>
        <w:ind w:left="567" w:right="203"/>
        <w:rPr>
          <w:b/>
          <w:lang w:val="uk-UA"/>
        </w:rPr>
      </w:pPr>
    </w:p>
    <w:p w14:paraId="676B19C5" w14:textId="77777777" w:rsidR="0031434F" w:rsidRDefault="0031434F">
      <w:pPr>
        <w:ind w:left="567" w:right="203"/>
        <w:rPr>
          <w:b/>
          <w:lang w:val="uk-UA"/>
        </w:rPr>
      </w:pPr>
    </w:p>
    <w:p w14:paraId="32AD22D9" w14:textId="77777777" w:rsidR="0031434F" w:rsidRDefault="0031434F">
      <w:pPr>
        <w:ind w:left="567" w:right="203"/>
        <w:rPr>
          <w:b/>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551"/>
        <w:gridCol w:w="2693"/>
        <w:gridCol w:w="2268"/>
      </w:tblGrid>
      <w:tr w:rsidR="00447991" w14:paraId="6E6BCE18" w14:textId="77777777">
        <w:tc>
          <w:tcPr>
            <w:tcW w:w="2014" w:type="dxa"/>
            <w:shd w:val="clear" w:color="auto" w:fill="auto"/>
            <w:vAlign w:val="center"/>
          </w:tcPr>
          <w:p w14:paraId="51B8E0A0" w14:textId="77777777" w:rsidR="00447991" w:rsidRDefault="00FC54EF">
            <w:pPr>
              <w:jc w:val="center"/>
              <w:textAlignment w:val="baseline"/>
              <w:rPr>
                <w:b/>
                <w:lang w:val="uk-UA" w:eastAsia="uk-UA"/>
              </w:rPr>
            </w:pPr>
            <w:r>
              <w:rPr>
                <w:b/>
                <w:lang w:val="uk-UA" w:eastAsia="uk-UA"/>
              </w:rPr>
              <w:lastRenderedPageBreak/>
              <w:t xml:space="preserve">Рейтинг </w:t>
            </w:r>
            <w:proofErr w:type="spellStart"/>
            <w:r>
              <w:rPr>
                <w:b/>
                <w:lang w:val="uk-UA" w:eastAsia="uk-UA"/>
              </w:rPr>
              <w:t>результатив-ності</w:t>
            </w:r>
            <w:proofErr w:type="spellEnd"/>
          </w:p>
        </w:tc>
        <w:tc>
          <w:tcPr>
            <w:tcW w:w="2551" w:type="dxa"/>
            <w:shd w:val="clear" w:color="auto" w:fill="auto"/>
            <w:vAlign w:val="center"/>
          </w:tcPr>
          <w:p w14:paraId="3C8E3085" w14:textId="77777777" w:rsidR="00447991" w:rsidRDefault="00FC54EF">
            <w:pPr>
              <w:ind w:left="-73" w:right="-116"/>
              <w:jc w:val="center"/>
              <w:rPr>
                <w:b/>
                <w:lang w:val="uk-UA"/>
              </w:rPr>
            </w:pPr>
            <w:r>
              <w:rPr>
                <w:b/>
                <w:lang w:val="uk-UA"/>
              </w:rPr>
              <w:t>Вигоди (підсумок)</w:t>
            </w:r>
          </w:p>
        </w:tc>
        <w:tc>
          <w:tcPr>
            <w:tcW w:w="2693" w:type="dxa"/>
            <w:shd w:val="clear" w:color="auto" w:fill="auto"/>
            <w:vAlign w:val="center"/>
          </w:tcPr>
          <w:p w14:paraId="35E8225A" w14:textId="77777777" w:rsidR="00447991" w:rsidRDefault="00FC54EF">
            <w:pPr>
              <w:jc w:val="center"/>
              <w:rPr>
                <w:b/>
                <w:lang w:val="uk-UA"/>
              </w:rPr>
            </w:pPr>
            <w:r>
              <w:rPr>
                <w:b/>
                <w:lang w:val="uk-UA"/>
              </w:rPr>
              <w:t>Витрати (підсумок)</w:t>
            </w:r>
          </w:p>
        </w:tc>
        <w:tc>
          <w:tcPr>
            <w:tcW w:w="2268" w:type="dxa"/>
            <w:shd w:val="clear" w:color="auto" w:fill="auto"/>
            <w:vAlign w:val="center"/>
          </w:tcPr>
          <w:p w14:paraId="257AADD7" w14:textId="77777777" w:rsidR="00447991" w:rsidRDefault="00FC54EF">
            <w:pPr>
              <w:jc w:val="center"/>
              <w:textAlignment w:val="baseline"/>
              <w:rPr>
                <w:b/>
                <w:lang w:val="uk-UA" w:eastAsia="uk-UA"/>
              </w:rPr>
            </w:pPr>
            <w:r>
              <w:rPr>
                <w:b/>
                <w:lang w:val="uk-UA" w:eastAsia="uk-UA"/>
              </w:rPr>
              <w:t>Обґрунтування відповідного місця альтернативи у рейтингу</w:t>
            </w:r>
          </w:p>
        </w:tc>
      </w:tr>
      <w:tr w:rsidR="00447991" w14:paraId="571E54C5" w14:textId="77777777">
        <w:tc>
          <w:tcPr>
            <w:tcW w:w="2014" w:type="dxa"/>
            <w:shd w:val="clear" w:color="auto" w:fill="auto"/>
          </w:tcPr>
          <w:p w14:paraId="38CE6961" w14:textId="77777777" w:rsidR="00447991" w:rsidRDefault="00FC54EF">
            <w:pPr>
              <w:textAlignment w:val="baseline"/>
              <w:rPr>
                <w:bCs/>
                <w:lang w:val="uk-UA"/>
              </w:rPr>
            </w:pPr>
            <w:r>
              <w:rPr>
                <w:lang w:val="uk-UA"/>
              </w:rPr>
              <w:t xml:space="preserve">Прийняття </w:t>
            </w:r>
            <w:proofErr w:type="spellStart"/>
            <w:r>
              <w:rPr>
                <w:bCs/>
                <w:lang w:val="uk-UA"/>
              </w:rPr>
              <w:t>проєкту</w:t>
            </w:r>
            <w:proofErr w:type="spellEnd"/>
            <w:r>
              <w:rPr>
                <w:bCs/>
                <w:lang w:val="uk-UA"/>
              </w:rPr>
              <w:t xml:space="preserve">  постанови </w:t>
            </w:r>
          </w:p>
        </w:tc>
        <w:tc>
          <w:tcPr>
            <w:tcW w:w="2551" w:type="dxa"/>
            <w:shd w:val="clear" w:color="auto" w:fill="auto"/>
          </w:tcPr>
          <w:p w14:paraId="61AD6F0D" w14:textId="35874667" w:rsidR="00447991" w:rsidRDefault="00FC54EF">
            <w:pPr>
              <w:jc w:val="both"/>
              <w:rPr>
                <w:lang w:val="uk-UA" w:eastAsia="en-US"/>
              </w:rPr>
            </w:pPr>
            <w:r>
              <w:rPr>
                <w:lang w:val="uk-UA" w:eastAsia="en-US"/>
              </w:rPr>
              <w:t>Прийняття  постанови дозволить забезпечити складення переліку захищених споживачів з метою недопущення виникнення надзвичайних ситуацій техногенного характеру</w:t>
            </w:r>
          </w:p>
          <w:p w14:paraId="558A2422" w14:textId="77777777" w:rsidR="00447991" w:rsidRDefault="00447991">
            <w:pPr>
              <w:pStyle w:val="11"/>
              <w:ind w:left="-73" w:right="-116"/>
              <w:rPr>
                <w:rFonts w:ascii="Times New Roman" w:hAnsi="Times New Roman"/>
                <w:color w:val="FF0000"/>
                <w:sz w:val="24"/>
                <w:szCs w:val="24"/>
              </w:rPr>
            </w:pPr>
          </w:p>
        </w:tc>
        <w:tc>
          <w:tcPr>
            <w:tcW w:w="2693" w:type="dxa"/>
            <w:shd w:val="clear" w:color="auto" w:fill="auto"/>
          </w:tcPr>
          <w:p w14:paraId="2F990119" w14:textId="77777777" w:rsidR="00447991" w:rsidRDefault="00FC54EF" w:rsidP="0031434F">
            <w:pPr>
              <w:jc w:val="both"/>
              <w:textAlignment w:val="baseline"/>
              <w:rPr>
                <w:spacing w:val="-4"/>
                <w:lang w:val="uk-UA" w:eastAsia="uk-UA"/>
              </w:rPr>
            </w:pPr>
            <w:r>
              <w:rPr>
                <w:lang w:val="uk-UA"/>
              </w:rPr>
              <w:t>536 544,00</w:t>
            </w:r>
            <w:r>
              <w:rPr>
                <w:strike/>
                <w:lang w:val="uk-UA"/>
              </w:rPr>
              <w:t xml:space="preserve"> </w:t>
            </w:r>
            <w:r>
              <w:rPr>
                <w:lang w:val="uk-UA"/>
              </w:rPr>
              <w:t xml:space="preserve">грн </w:t>
            </w:r>
            <w:r>
              <w:rPr>
                <w:spacing w:val="-4"/>
                <w:lang w:val="uk-UA" w:eastAsia="uk-UA"/>
              </w:rPr>
              <w:t xml:space="preserve">– витрати суб’єктів господарювання великого та середнього підприємництва </w:t>
            </w:r>
          </w:p>
          <w:p w14:paraId="1BCBE045" w14:textId="77777777" w:rsidR="00447991" w:rsidRDefault="00FC54EF" w:rsidP="0031434F">
            <w:pPr>
              <w:jc w:val="both"/>
              <w:textAlignment w:val="baseline"/>
              <w:rPr>
                <w:spacing w:val="-4"/>
                <w:lang w:val="uk-UA" w:eastAsia="uk-UA"/>
              </w:rPr>
            </w:pPr>
            <w:r>
              <w:rPr>
                <w:spacing w:val="-4"/>
                <w:lang w:val="uk-UA" w:eastAsia="uk-UA"/>
              </w:rPr>
              <w:t>(за перший рік)</w:t>
            </w:r>
          </w:p>
        </w:tc>
        <w:tc>
          <w:tcPr>
            <w:tcW w:w="2268" w:type="dxa"/>
            <w:shd w:val="clear" w:color="auto" w:fill="auto"/>
          </w:tcPr>
          <w:p w14:paraId="776775C7" w14:textId="21A4C067" w:rsidR="00447991" w:rsidRDefault="00FC54EF" w:rsidP="0031434F">
            <w:pPr>
              <w:jc w:val="both"/>
              <w:textAlignment w:val="baseline"/>
              <w:rPr>
                <w:spacing w:val="-4"/>
                <w:lang w:val="uk-UA"/>
              </w:rPr>
            </w:pPr>
            <w:r>
              <w:rPr>
                <w:spacing w:val="-4"/>
                <w:lang w:val="uk-UA"/>
              </w:rPr>
              <w:t xml:space="preserve">У разі прийняття </w:t>
            </w:r>
            <w:proofErr w:type="spellStart"/>
            <w:r>
              <w:rPr>
                <w:lang w:val="uk-UA"/>
              </w:rPr>
              <w:t>проєкту</w:t>
            </w:r>
            <w:proofErr w:type="spellEnd"/>
            <w:r>
              <w:rPr>
                <w:lang w:val="uk-UA"/>
              </w:rPr>
              <w:t xml:space="preserve"> постанови </w:t>
            </w:r>
            <w:r>
              <w:rPr>
                <w:spacing w:val="-4"/>
                <w:lang w:val="uk-UA"/>
              </w:rPr>
              <w:t>цілі державного регулювання будуть досягнуті повною мірою, що повністю забезпечить потребу у вирішені визначеної проблеми</w:t>
            </w:r>
          </w:p>
        </w:tc>
      </w:tr>
      <w:tr w:rsidR="00447991" w14:paraId="6DBE9363" w14:textId="77777777">
        <w:tc>
          <w:tcPr>
            <w:tcW w:w="2014" w:type="dxa"/>
            <w:shd w:val="clear" w:color="auto" w:fill="auto"/>
          </w:tcPr>
          <w:p w14:paraId="41A6DE9C" w14:textId="77777777" w:rsidR="00447991" w:rsidRDefault="00FC54EF">
            <w:pPr>
              <w:rPr>
                <w:b/>
                <w:lang w:val="uk-UA"/>
              </w:rPr>
            </w:pPr>
            <w:r>
              <w:rPr>
                <w:bCs/>
                <w:lang w:val="uk-UA"/>
              </w:rPr>
              <w:t>Залишення існуючої ситуації без змін</w:t>
            </w:r>
          </w:p>
        </w:tc>
        <w:tc>
          <w:tcPr>
            <w:tcW w:w="2551" w:type="dxa"/>
            <w:shd w:val="clear" w:color="auto" w:fill="auto"/>
          </w:tcPr>
          <w:p w14:paraId="39B6E6BB" w14:textId="77777777" w:rsidR="00447991" w:rsidRDefault="00FC54EF">
            <w:pPr>
              <w:pStyle w:val="a8"/>
              <w:ind w:left="-73" w:right="-116"/>
              <w:jc w:val="center"/>
              <w:rPr>
                <w:rFonts w:ascii="Times New Roman" w:hAnsi="Times New Roman"/>
                <w:sz w:val="24"/>
                <w:szCs w:val="24"/>
                <w:lang w:val="uk-UA"/>
              </w:rPr>
            </w:pPr>
            <w:r>
              <w:rPr>
                <w:rFonts w:ascii="Times New Roman" w:hAnsi="Times New Roman"/>
                <w:sz w:val="24"/>
                <w:szCs w:val="24"/>
                <w:lang w:val="uk-UA" w:eastAsia="uk-UA"/>
              </w:rPr>
              <w:t>Відсутні</w:t>
            </w:r>
          </w:p>
        </w:tc>
        <w:tc>
          <w:tcPr>
            <w:tcW w:w="2693" w:type="dxa"/>
            <w:shd w:val="clear" w:color="auto" w:fill="auto"/>
          </w:tcPr>
          <w:p w14:paraId="38BE6887" w14:textId="77777777" w:rsidR="00447991" w:rsidRDefault="00FC54EF" w:rsidP="0031434F">
            <w:pPr>
              <w:pStyle w:val="11"/>
              <w:jc w:val="both"/>
              <w:rPr>
                <w:rFonts w:ascii="Times New Roman" w:hAnsi="Times New Roman"/>
                <w:sz w:val="24"/>
                <w:szCs w:val="24"/>
              </w:rPr>
            </w:pPr>
            <w:r>
              <w:rPr>
                <w:rFonts w:ascii="Times New Roman" w:hAnsi="Times New Roman"/>
                <w:sz w:val="24"/>
                <w:szCs w:val="24"/>
              </w:rPr>
              <w:t>Виникнення загрози щодо безпеки постачання електричної енергії  критично важливим галузям економіки  держави і суб’єктам господарювання</w:t>
            </w:r>
          </w:p>
          <w:p w14:paraId="7BBCDFA7" w14:textId="77777777" w:rsidR="00447991" w:rsidRDefault="00447991" w:rsidP="0031434F">
            <w:pPr>
              <w:pStyle w:val="11"/>
              <w:jc w:val="both"/>
              <w:rPr>
                <w:rFonts w:ascii="Times New Roman" w:hAnsi="Times New Roman"/>
                <w:color w:val="FF0000"/>
                <w:sz w:val="24"/>
                <w:szCs w:val="24"/>
              </w:rPr>
            </w:pPr>
          </w:p>
          <w:p w14:paraId="17DCF6FE" w14:textId="77777777" w:rsidR="00447991" w:rsidRDefault="00FC54EF" w:rsidP="0031434F">
            <w:pPr>
              <w:pStyle w:val="11"/>
              <w:jc w:val="both"/>
              <w:rPr>
                <w:rFonts w:ascii="Times New Roman" w:hAnsi="Times New Roman"/>
                <w:sz w:val="24"/>
                <w:szCs w:val="24"/>
              </w:rPr>
            </w:pPr>
            <w:r>
              <w:rPr>
                <w:rFonts w:ascii="Times New Roman" w:hAnsi="Times New Roman"/>
                <w:color w:val="FF0000"/>
                <w:sz w:val="24"/>
                <w:szCs w:val="24"/>
              </w:rPr>
              <w:t xml:space="preserve"> </w:t>
            </w:r>
          </w:p>
        </w:tc>
        <w:tc>
          <w:tcPr>
            <w:tcW w:w="2268" w:type="dxa"/>
            <w:shd w:val="clear" w:color="auto" w:fill="auto"/>
          </w:tcPr>
          <w:p w14:paraId="12FC225A" w14:textId="77777777" w:rsidR="00447991" w:rsidRDefault="00FC54EF" w:rsidP="0031434F">
            <w:pPr>
              <w:pStyle w:val="11"/>
              <w:jc w:val="both"/>
              <w:rPr>
                <w:rFonts w:ascii="Times New Roman" w:hAnsi="Times New Roman"/>
                <w:spacing w:val="-4"/>
                <w:sz w:val="24"/>
                <w:szCs w:val="24"/>
                <w:lang w:val="ru-RU" w:eastAsia="uk-UA"/>
              </w:rPr>
            </w:pPr>
            <w:r>
              <w:rPr>
                <w:rFonts w:ascii="Times New Roman" w:hAnsi="Times New Roman"/>
                <w:spacing w:val="-4"/>
                <w:sz w:val="24"/>
                <w:szCs w:val="24"/>
                <w:lang w:val="ru-RU" w:eastAsia="uk-UA"/>
              </w:rPr>
              <w:t xml:space="preserve">У </w:t>
            </w:r>
            <w:proofErr w:type="spellStart"/>
            <w:r>
              <w:rPr>
                <w:rFonts w:ascii="Times New Roman" w:hAnsi="Times New Roman"/>
                <w:spacing w:val="-4"/>
                <w:sz w:val="24"/>
                <w:szCs w:val="24"/>
                <w:lang w:val="ru-RU" w:eastAsia="uk-UA"/>
              </w:rPr>
              <w:t>разі</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залишення</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існуючої</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ситуації</w:t>
            </w:r>
            <w:proofErr w:type="spellEnd"/>
            <w:r>
              <w:rPr>
                <w:rFonts w:ascii="Times New Roman" w:hAnsi="Times New Roman"/>
                <w:spacing w:val="-4"/>
                <w:sz w:val="24"/>
                <w:szCs w:val="24"/>
                <w:lang w:val="ru-RU" w:eastAsia="uk-UA"/>
              </w:rPr>
              <w:t xml:space="preserve"> без </w:t>
            </w:r>
            <w:proofErr w:type="spellStart"/>
            <w:r>
              <w:rPr>
                <w:rFonts w:ascii="Times New Roman" w:hAnsi="Times New Roman"/>
                <w:spacing w:val="-4"/>
                <w:sz w:val="24"/>
                <w:szCs w:val="24"/>
                <w:lang w:val="ru-RU" w:eastAsia="uk-UA"/>
              </w:rPr>
              <w:t>змін</w:t>
            </w:r>
            <w:proofErr w:type="spellEnd"/>
            <w:r>
              <w:rPr>
                <w:rFonts w:ascii="Times New Roman" w:hAnsi="Times New Roman"/>
                <w:spacing w:val="-4"/>
                <w:sz w:val="24"/>
                <w:szCs w:val="24"/>
                <w:lang w:val="ru-RU" w:eastAsia="uk-UA"/>
              </w:rPr>
              <w:t xml:space="preserve">, проблема </w:t>
            </w:r>
            <w:proofErr w:type="spellStart"/>
            <w:r>
              <w:rPr>
                <w:rFonts w:ascii="Times New Roman" w:hAnsi="Times New Roman"/>
                <w:spacing w:val="-4"/>
                <w:sz w:val="24"/>
                <w:szCs w:val="24"/>
                <w:lang w:val="ru-RU" w:eastAsia="uk-UA"/>
              </w:rPr>
              <w:t>незабезпечення</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належного</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рівня</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надійності</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енергопостачання</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продовжуватиме</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існувати</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що</w:t>
            </w:r>
            <w:proofErr w:type="spellEnd"/>
            <w:r>
              <w:rPr>
                <w:rFonts w:ascii="Times New Roman" w:hAnsi="Times New Roman"/>
                <w:spacing w:val="-4"/>
                <w:sz w:val="24"/>
                <w:szCs w:val="24"/>
                <w:lang w:val="ru-RU" w:eastAsia="uk-UA"/>
              </w:rPr>
              <w:t xml:space="preserve"> не </w:t>
            </w:r>
            <w:proofErr w:type="spellStart"/>
            <w:r>
              <w:rPr>
                <w:rFonts w:ascii="Times New Roman" w:hAnsi="Times New Roman"/>
                <w:spacing w:val="-4"/>
                <w:sz w:val="24"/>
                <w:szCs w:val="24"/>
                <w:lang w:val="ru-RU" w:eastAsia="uk-UA"/>
              </w:rPr>
              <w:t>забезпечить</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досягнення</w:t>
            </w:r>
            <w:proofErr w:type="spellEnd"/>
            <w:r>
              <w:rPr>
                <w:rFonts w:ascii="Times New Roman" w:hAnsi="Times New Roman"/>
                <w:spacing w:val="-4"/>
                <w:sz w:val="24"/>
                <w:szCs w:val="24"/>
                <w:lang w:val="ru-RU" w:eastAsia="uk-UA"/>
              </w:rPr>
              <w:t xml:space="preserve"> </w:t>
            </w:r>
            <w:proofErr w:type="spellStart"/>
            <w:r>
              <w:rPr>
                <w:rFonts w:ascii="Times New Roman" w:hAnsi="Times New Roman"/>
                <w:spacing w:val="-4"/>
                <w:sz w:val="24"/>
                <w:szCs w:val="24"/>
                <w:lang w:val="ru-RU" w:eastAsia="uk-UA"/>
              </w:rPr>
              <w:t>поставленої</w:t>
            </w:r>
            <w:proofErr w:type="spellEnd"/>
            <w:r>
              <w:rPr>
                <w:rFonts w:ascii="Times New Roman" w:hAnsi="Times New Roman"/>
                <w:spacing w:val="-4"/>
                <w:sz w:val="24"/>
                <w:szCs w:val="24"/>
                <w:lang w:val="ru-RU" w:eastAsia="uk-UA"/>
              </w:rPr>
              <w:t xml:space="preserve"> мети</w:t>
            </w:r>
          </w:p>
        </w:tc>
      </w:tr>
    </w:tbl>
    <w:p w14:paraId="43291BC0" w14:textId="77777777" w:rsidR="00447991" w:rsidRDefault="00447991">
      <w:pPr>
        <w:shd w:val="clear" w:color="auto" w:fill="FFFFFF"/>
        <w:ind w:firstLine="567"/>
        <w:textAlignment w:val="baseline"/>
        <w:rPr>
          <w:lang w:val="uk-UA" w:eastAsia="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147"/>
      </w:tblGrid>
      <w:tr w:rsidR="00447991" w14:paraId="3627710F" w14:textId="77777777">
        <w:trPr>
          <w:cantSplit/>
          <w:trHeight w:val="371"/>
        </w:trPr>
        <w:tc>
          <w:tcPr>
            <w:tcW w:w="2410" w:type="dxa"/>
            <w:shd w:val="clear" w:color="auto" w:fill="auto"/>
            <w:vAlign w:val="center"/>
          </w:tcPr>
          <w:p w14:paraId="1B1A660D" w14:textId="77777777" w:rsidR="00447991" w:rsidRDefault="00FC54EF">
            <w:pPr>
              <w:ind w:firstLine="33"/>
              <w:jc w:val="center"/>
              <w:textAlignment w:val="baseline"/>
              <w:rPr>
                <w:lang w:val="uk-UA" w:eastAsia="uk-UA"/>
              </w:rPr>
            </w:pPr>
            <w:r>
              <w:rPr>
                <w:b/>
                <w:lang w:val="uk-UA"/>
              </w:rPr>
              <w:t>Рейтинг</w:t>
            </w:r>
          </w:p>
        </w:tc>
        <w:tc>
          <w:tcPr>
            <w:tcW w:w="3969" w:type="dxa"/>
            <w:shd w:val="clear" w:color="auto" w:fill="auto"/>
            <w:vAlign w:val="center"/>
          </w:tcPr>
          <w:p w14:paraId="5EC9B745" w14:textId="77777777" w:rsidR="00447991" w:rsidRDefault="00FC54EF">
            <w:pPr>
              <w:ind w:firstLine="33"/>
              <w:jc w:val="center"/>
              <w:textAlignment w:val="baseline"/>
              <w:rPr>
                <w:b/>
                <w:shd w:val="clear" w:color="auto" w:fill="FFFFFF"/>
                <w:lang w:val="uk-UA"/>
              </w:rPr>
            </w:pPr>
            <w:r>
              <w:rPr>
                <w:b/>
                <w:shd w:val="clear" w:color="auto" w:fill="FFFFFF"/>
                <w:lang w:val="uk-UA"/>
              </w:rPr>
              <w:t xml:space="preserve">Аргументи щодо </w:t>
            </w:r>
          </w:p>
          <w:p w14:paraId="7B88B4E5" w14:textId="77777777" w:rsidR="00447991" w:rsidRDefault="00FC54EF">
            <w:pPr>
              <w:ind w:firstLine="33"/>
              <w:jc w:val="center"/>
              <w:textAlignment w:val="baseline"/>
              <w:rPr>
                <w:b/>
                <w:lang w:val="uk-UA" w:eastAsia="uk-UA"/>
              </w:rPr>
            </w:pPr>
            <w:r>
              <w:rPr>
                <w:b/>
                <w:shd w:val="clear" w:color="auto" w:fill="FFFFFF"/>
                <w:lang w:val="uk-UA"/>
              </w:rPr>
              <w:t>переваги обраної альтернативи/причини відмови від альтернативи</w:t>
            </w:r>
          </w:p>
        </w:tc>
        <w:tc>
          <w:tcPr>
            <w:tcW w:w="3147" w:type="dxa"/>
            <w:shd w:val="clear" w:color="auto" w:fill="auto"/>
            <w:vAlign w:val="center"/>
          </w:tcPr>
          <w:p w14:paraId="4690A56F" w14:textId="77777777" w:rsidR="00447991" w:rsidRDefault="00FC54EF">
            <w:pPr>
              <w:ind w:firstLine="33"/>
              <w:jc w:val="center"/>
              <w:textAlignment w:val="baseline"/>
              <w:rPr>
                <w:b/>
                <w:lang w:val="uk-UA" w:eastAsia="uk-UA"/>
              </w:rPr>
            </w:pPr>
            <w:r>
              <w:rPr>
                <w:b/>
                <w:shd w:val="clear" w:color="auto" w:fill="FFFFFF"/>
                <w:lang w:val="uk-UA"/>
              </w:rPr>
              <w:t xml:space="preserve">Оцінка ризику зовнішніх чинників на дію запропонованого регуляторного </w:t>
            </w:r>
            <w:proofErr w:type="spellStart"/>
            <w:r>
              <w:rPr>
                <w:b/>
                <w:shd w:val="clear" w:color="auto" w:fill="FFFFFF"/>
                <w:lang w:val="uk-UA"/>
              </w:rPr>
              <w:t>акта</w:t>
            </w:r>
            <w:proofErr w:type="spellEnd"/>
          </w:p>
        </w:tc>
      </w:tr>
      <w:tr w:rsidR="00447991" w14:paraId="365C132D" w14:textId="77777777">
        <w:trPr>
          <w:cantSplit/>
          <w:trHeight w:val="1325"/>
        </w:trPr>
        <w:tc>
          <w:tcPr>
            <w:tcW w:w="2410" w:type="dxa"/>
            <w:shd w:val="clear" w:color="auto" w:fill="auto"/>
          </w:tcPr>
          <w:p w14:paraId="22292F35" w14:textId="77777777" w:rsidR="00447991" w:rsidRDefault="00FC54EF">
            <w:pPr>
              <w:textAlignment w:val="baseline"/>
              <w:rPr>
                <w:b/>
                <w:lang w:val="uk-UA"/>
              </w:rPr>
            </w:pPr>
            <w:r>
              <w:rPr>
                <w:lang w:val="uk-UA"/>
              </w:rPr>
              <w:t xml:space="preserve">Прийняття </w:t>
            </w:r>
            <w:proofErr w:type="spellStart"/>
            <w:r>
              <w:rPr>
                <w:bCs/>
                <w:lang w:val="uk-UA"/>
              </w:rPr>
              <w:t>проєкту</w:t>
            </w:r>
            <w:proofErr w:type="spellEnd"/>
            <w:r>
              <w:rPr>
                <w:bCs/>
                <w:lang w:val="uk-UA"/>
              </w:rPr>
              <w:t xml:space="preserve"> постанови </w:t>
            </w:r>
          </w:p>
        </w:tc>
        <w:tc>
          <w:tcPr>
            <w:tcW w:w="3969" w:type="dxa"/>
            <w:shd w:val="clear" w:color="auto" w:fill="auto"/>
          </w:tcPr>
          <w:p w14:paraId="2104C72B" w14:textId="77777777" w:rsidR="00447991" w:rsidRDefault="00FC54EF">
            <w:pPr>
              <w:jc w:val="both"/>
              <w:textAlignment w:val="baseline"/>
              <w:rPr>
                <w:bdr w:val="none" w:sz="0" w:space="0" w:color="auto" w:frame="1"/>
                <w:lang w:val="uk-UA"/>
              </w:rPr>
            </w:pPr>
            <w:r>
              <w:rPr>
                <w:lang w:val="uk-UA"/>
              </w:rPr>
              <w:t>Дозволяє вирішити проблему шляхом</w:t>
            </w:r>
            <w:r>
              <w:rPr>
                <w:bdr w:val="none" w:sz="0" w:space="0" w:color="auto" w:frame="1"/>
                <w:lang w:val="uk-UA"/>
              </w:rPr>
              <w:t xml:space="preserve"> визначення переліку захищених споживачів,  відповідно до чітких критеріїв, обмеження, відключення електропостачання яких може спричинити надзвичайну ситуацію техногенного характеру та які водночас забезпечують життєдіяльність населення, передбачення  механізмів забезпечення поточної оплати спожитої електричної енергії захищеними споживачами</w:t>
            </w:r>
            <w:r>
              <w:rPr>
                <w:strike/>
                <w:bdr w:val="none" w:sz="0" w:space="0" w:color="auto" w:frame="1"/>
                <w:lang w:val="uk-UA"/>
              </w:rPr>
              <w:t xml:space="preserve"> </w:t>
            </w:r>
          </w:p>
        </w:tc>
        <w:tc>
          <w:tcPr>
            <w:tcW w:w="3147" w:type="dxa"/>
            <w:shd w:val="clear" w:color="auto" w:fill="auto"/>
          </w:tcPr>
          <w:p w14:paraId="4F5977F7" w14:textId="4875E0DF" w:rsidR="00447991" w:rsidRDefault="00FC54EF">
            <w:pPr>
              <w:jc w:val="both"/>
              <w:textAlignment w:val="baseline"/>
              <w:rPr>
                <w:b/>
                <w:shd w:val="clear" w:color="auto" w:fill="FFFFFF"/>
                <w:lang w:val="uk-UA"/>
              </w:rPr>
            </w:pPr>
            <w:r>
              <w:rPr>
                <w:shd w:val="clear" w:color="auto" w:fill="FFFFFF"/>
                <w:lang w:val="uk-UA"/>
              </w:rPr>
              <w:t xml:space="preserve">Ризик зовнішніх чинників на дію запропонованого </w:t>
            </w:r>
            <w:proofErr w:type="spellStart"/>
            <w:r>
              <w:rPr>
                <w:bCs/>
                <w:lang w:val="uk-UA"/>
              </w:rPr>
              <w:t>проєкту</w:t>
            </w:r>
            <w:proofErr w:type="spellEnd"/>
            <w:r>
              <w:rPr>
                <w:bCs/>
                <w:lang w:val="uk-UA"/>
              </w:rPr>
              <w:t xml:space="preserve"> постанови </w:t>
            </w:r>
            <w:r>
              <w:rPr>
                <w:shd w:val="clear" w:color="auto" w:fill="FFFFFF"/>
                <w:lang w:val="uk-UA"/>
              </w:rPr>
              <w:t>можливий у випадку пошкоджень через проведення бойових дій</w:t>
            </w:r>
          </w:p>
        </w:tc>
      </w:tr>
      <w:tr w:rsidR="00447991" w14:paraId="3D6A8953" w14:textId="77777777">
        <w:trPr>
          <w:cantSplit/>
        </w:trPr>
        <w:tc>
          <w:tcPr>
            <w:tcW w:w="2410" w:type="dxa"/>
            <w:shd w:val="clear" w:color="auto" w:fill="auto"/>
          </w:tcPr>
          <w:p w14:paraId="05587407" w14:textId="77777777" w:rsidR="00447991" w:rsidRDefault="00FC54EF">
            <w:pPr>
              <w:textAlignment w:val="baseline"/>
              <w:rPr>
                <w:lang w:val="uk-UA" w:eastAsia="uk-UA"/>
              </w:rPr>
            </w:pPr>
            <w:r>
              <w:rPr>
                <w:bCs/>
                <w:lang w:val="uk-UA"/>
              </w:rPr>
              <w:t>Залишення існуючої ситуації без змін</w:t>
            </w:r>
          </w:p>
        </w:tc>
        <w:tc>
          <w:tcPr>
            <w:tcW w:w="3969" w:type="dxa"/>
            <w:shd w:val="clear" w:color="auto" w:fill="auto"/>
          </w:tcPr>
          <w:p w14:paraId="2D67D961" w14:textId="77777777" w:rsidR="00447991" w:rsidRDefault="00FC54EF">
            <w:pPr>
              <w:ind w:left="34"/>
              <w:textAlignment w:val="baseline"/>
              <w:rPr>
                <w:lang w:val="uk-UA" w:eastAsia="uk-UA"/>
              </w:rPr>
            </w:pPr>
            <w:r>
              <w:rPr>
                <w:lang w:val="uk-UA" w:eastAsia="uk-UA"/>
              </w:rPr>
              <w:t>Проблема залишиться невирішеною</w:t>
            </w:r>
          </w:p>
        </w:tc>
        <w:tc>
          <w:tcPr>
            <w:tcW w:w="3147" w:type="dxa"/>
            <w:shd w:val="clear" w:color="auto" w:fill="auto"/>
          </w:tcPr>
          <w:p w14:paraId="040B37DB" w14:textId="77777777" w:rsidR="00447991" w:rsidRDefault="00FC54EF">
            <w:pPr>
              <w:textAlignment w:val="baseline"/>
              <w:rPr>
                <w:lang w:eastAsia="uk-UA"/>
              </w:rPr>
            </w:pPr>
            <w:r>
              <w:rPr>
                <w:shd w:val="clear" w:color="auto" w:fill="FFFFFF"/>
                <w:lang w:val="uk-UA"/>
              </w:rPr>
              <w:t xml:space="preserve">Не передбачається </w:t>
            </w:r>
          </w:p>
        </w:tc>
      </w:tr>
    </w:tbl>
    <w:p w14:paraId="3B231AE8" w14:textId="77777777" w:rsidR="00447991" w:rsidRDefault="00447991">
      <w:pPr>
        <w:ind w:left="567" w:right="203"/>
        <w:rPr>
          <w:b/>
          <w:sz w:val="27"/>
          <w:szCs w:val="27"/>
          <w:lang w:val="uk-UA"/>
        </w:rPr>
      </w:pPr>
    </w:p>
    <w:p w14:paraId="4CCC0362" w14:textId="77777777" w:rsidR="00447991" w:rsidRDefault="00447991">
      <w:pPr>
        <w:ind w:left="567" w:right="203"/>
        <w:rPr>
          <w:b/>
          <w:sz w:val="27"/>
          <w:szCs w:val="27"/>
          <w:lang w:val="uk-UA"/>
        </w:rPr>
      </w:pPr>
    </w:p>
    <w:p w14:paraId="635498A0" w14:textId="77777777" w:rsidR="006618B9" w:rsidRDefault="006618B9">
      <w:pPr>
        <w:ind w:left="567" w:right="203"/>
        <w:rPr>
          <w:b/>
          <w:sz w:val="27"/>
          <w:szCs w:val="27"/>
          <w:lang w:val="uk-UA"/>
        </w:rPr>
      </w:pPr>
    </w:p>
    <w:p w14:paraId="4B0BB76F" w14:textId="77777777" w:rsidR="006618B9" w:rsidRDefault="006618B9">
      <w:pPr>
        <w:ind w:left="567" w:right="203"/>
        <w:rPr>
          <w:b/>
          <w:sz w:val="27"/>
          <w:szCs w:val="27"/>
          <w:lang w:val="uk-UA"/>
        </w:rPr>
      </w:pPr>
    </w:p>
    <w:p w14:paraId="49AA9CEB" w14:textId="77777777" w:rsidR="00447991" w:rsidRDefault="00FC54EF">
      <w:pPr>
        <w:pStyle w:val="ab"/>
        <w:numPr>
          <w:ilvl w:val="0"/>
          <w:numId w:val="9"/>
        </w:numPr>
        <w:ind w:left="0" w:right="203" w:firstLine="709"/>
        <w:jc w:val="center"/>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Механізми та заходи, які забезпечать </w:t>
      </w:r>
      <w:proofErr w:type="spellStart"/>
      <w:r>
        <w:rPr>
          <w:rFonts w:ascii="Times New Roman" w:hAnsi="Times New Roman" w:cs="Times New Roman"/>
          <w:b/>
          <w:sz w:val="27"/>
          <w:szCs w:val="27"/>
          <w:lang w:val="uk-UA"/>
        </w:rPr>
        <w:t>розв</w:t>
      </w:r>
      <w:proofErr w:type="spellEnd"/>
      <w:r>
        <w:rPr>
          <w:rFonts w:ascii="Times New Roman" w:hAnsi="Times New Roman" w:cs="Times New Roman"/>
          <w:b/>
          <w:sz w:val="27"/>
          <w:szCs w:val="27"/>
        </w:rPr>
        <w:t>’</w:t>
      </w:r>
      <w:proofErr w:type="spellStart"/>
      <w:r>
        <w:rPr>
          <w:rFonts w:ascii="Times New Roman" w:hAnsi="Times New Roman" w:cs="Times New Roman"/>
          <w:b/>
          <w:sz w:val="27"/>
          <w:szCs w:val="27"/>
          <w:lang w:val="uk-UA"/>
        </w:rPr>
        <w:t>язання</w:t>
      </w:r>
      <w:proofErr w:type="spellEnd"/>
      <w:r>
        <w:rPr>
          <w:rFonts w:ascii="Times New Roman" w:hAnsi="Times New Roman" w:cs="Times New Roman"/>
          <w:b/>
          <w:sz w:val="27"/>
          <w:szCs w:val="27"/>
          <w:lang w:val="uk-UA"/>
        </w:rPr>
        <w:t xml:space="preserve"> визначеної проблеми</w:t>
      </w:r>
    </w:p>
    <w:p w14:paraId="3152C6CD" w14:textId="77777777" w:rsidR="00447991" w:rsidRDefault="00FC54EF">
      <w:pPr>
        <w:ind w:firstLine="567"/>
        <w:contextualSpacing/>
        <w:jc w:val="both"/>
        <w:rPr>
          <w:sz w:val="27"/>
          <w:szCs w:val="27"/>
          <w:lang w:val="uk-UA"/>
        </w:rPr>
      </w:pPr>
      <w:r>
        <w:rPr>
          <w:sz w:val="27"/>
          <w:szCs w:val="27"/>
          <w:lang w:val="uk-UA"/>
        </w:rPr>
        <w:t xml:space="preserve">Механізми, які забезпечить </w:t>
      </w:r>
      <w:proofErr w:type="spellStart"/>
      <w:r>
        <w:rPr>
          <w:sz w:val="27"/>
          <w:szCs w:val="27"/>
          <w:lang w:val="uk-UA"/>
        </w:rPr>
        <w:t>розв</w:t>
      </w:r>
      <w:proofErr w:type="spellEnd"/>
      <w:r>
        <w:rPr>
          <w:sz w:val="27"/>
          <w:szCs w:val="27"/>
        </w:rPr>
        <w:t>’</w:t>
      </w:r>
      <w:proofErr w:type="spellStart"/>
      <w:r>
        <w:rPr>
          <w:sz w:val="27"/>
          <w:szCs w:val="27"/>
          <w:lang w:val="uk-UA"/>
        </w:rPr>
        <w:t>язання</w:t>
      </w:r>
      <w:proofErr w:type="spellEnd"/>
      <w:r>
        <w:rPr>
          <w:sz w:val="27"/>
          <w:szCs w:val="27"/>
          <w:lang w:val="uk-UA"/>
        </w:rPr>
        <w:t xml:space="preserve"> визначеної проблеми, є:</w:t>
      </w:r>
    </w:p>
    <w:p w14:paraId="4FA181BC" w14:textId="1B88F452" w:rsidR="00447991" w:rsidRDefault="00FC54EF">
      <w:pPr>
        <w:ind w:firstLine="567"/>
        <w:contextualSpacing/>
        <w:jc w:val="both"/>
        <w:rPr>
          <w:sz w:val="27"/>
          <w:szCs w:val="27"/>
          <w:lang w:val="uk-UA"/>
        </w:rPr>
      </w:pPr>
      <w:r>
        <w:rPr>
          <w:sz w:val="27"/>
          <w:szCs w:val="27"/>
          <w:lang w:val="uk-UA"/>
        </w:rPr>
        <w:t xml:space="preserve">прийняття </w:t>
      </w:r>
      <w:r>
        <w:rPr>
          <w:bCs/>
          <w:sz w:val="27"/>
          <w:szCs w:val="27"/>
          <w:lang w:val="uk-UA"/>
        </w:rPr>
        <w:t>постанови</w:t>
      </w:r>
      <w:r>
        <w:rPr>
          <w:sz w:val="27"/>
          <w:szCs w:val="27"/>
          <w:lang w:val="uk-UA"/>
        </w:rPr>
        <w:t>;</w:t>
      </w:r>
    </w:p>
    <w:p w14:paraId="01FAEC48" w14:textId="77777777" w:rsidR="00447991" w:rsidRDefault="00FC54EF">
      <w:pPr>
        <w:ind w:firstLine="567"/>
        <w:contextualSpacing/>
        <w:jc w:val="both"/>
        <w:rPr>
          <w:sz w:val="27"/>
          <w:szCs w:val="27"/>
          <w:lang w:val="uk-UA"/>
        </w:rPr>
      </w:pPr>
      <w:r>
        <w:rPr>
          <w:sz w:val="27"/>
          <w:szCs w:val="27"/>
          <w:lang w:val="uk-UA"/>
        </w:rPr>
        <w:t>впровадження нової процедури формування переліку захищених споживачів.</w:t>
      </w:r>
    </w:p>
    <w:p w14:paraId="1247379D" w14:textId="77777777" w:rsidR="00447991" w:rsidRDefault="00FC54EF">
      <w:pPr>
        <w:ind w:firstLine="567"/>
        <w:contextualSpacing/>
        <w:jc w:val="both"/>
        <w:rPr>
          <w:sz w:val="27"/>
          <w:szCs w:val="27"/>
          <w:lang w:val="uk-UA"/>
        </w:rPr>
      </w:pPr>
      <w:r>
        <w:rPr>
          <w:sz w:val="27"/>
          <w:szCs w:val="27"/>
          <w:lang w:val="uk-UA"/>
        </w:rPr>
        <w:t>Організаційними заходами є:</w:t>
      </w:r>
    </w:p>
    <w:p w14:paraId="512D3104" w14:textId="13E77A98" w:rsidR="00447991" w:rsidRDefault="00FC54EF">
      <w:pPr>
        <w:ind w:firstLine="567"/>
        <w:contextualSpacing/>
        <w:jc w:val="both"/>
        <w:rPr>
          <w:sz w:val="27"/>
          <w:szCs w:val="27"/>
          <w:lang w:val="uk-UA"/>
        </w:rPr>
      </w:pPr>
      <w:r>
        <w:rPr>
          <w:sz w:val="27"/>
          <w:szCs w:val="27"/>
          <w:lang w:val="uk-UA"/>
        </w:rPr>
        <w:t>складення переліку споживачів, які мають не сплачену заборгованість за договорами про постачання електричної енергії постачальником «останньої надії» за період 2022</w:t>
      </w:r>
      <w:r w:rsidR="00232C9D">
        <w:rPr>
          <w:sz w:val="27"/>
          <w:szCs w:val="27"/>
          <w:lang w:val="uk-UA"/>
        </w:rPr>
        <w:t xml:space="preserve"> – </w:t>
      </w:r>
      <w:r>
        <w:rPr>
          <w:sz w:val="27"/>
          <w:szCs w:val="27"/>
          <w:lang w:val="uk-UA"/>
        </w:rPr>
        <w:t xml:space="preserve">2023 років, обмеження, відключення об’єктів, яких може спричинити виникнення надзвичайної ситуації техногенного характеру, та подання такого переліку із відповідним обґрунтуванням до центрального органу виконавчої влади, який здійснює збір пропозицій до переліку захищених споживачів відповідно до </w:t>
      </w:r>
      <w:proofErr w:type="spellStart"/>
      <w:r>
        <w:rPr>
          <w:sz w:val="27"/>
          <w:szCs w:val="27"/>
          <w:lang w:val="uk-UA"/>
        </w:rPr>
        <w:t>проєкту</w:t>
      </w:r>
      <w:proofErr w:type="spellEnd"/>
      <w:r>
        <w:rPr>
          <w:sz w:val="27"/>
          <w:szCs w:val="27"/>
          <w:lang w:val="uk-UA"/>
        </w:rPr>
        <w:t xml:space="preserve"> постанови, з метою подальшого включення таких споживачів електричної енергії до переліку захищених споживачів електричної енергії;</w:t>
      </w:r>
    </w:p>
    <w:p w14:paraId="4DBE5306" w14:textId="77777777" w:rsidR="00447991" w:rsidRDefault="00FC54EF">
      <w:pPr>
        <w:ind w:firstLine="567"/>
        <w:contextualSpacing/>
        <w:jc w:val="both"/>
        <w:rPr>
          <w:sz w:val="27"/>
          <w:szCs w:val="27"/>
          <w:lang w:val="uk-UA"/>
        </w:rPr>
      </w:pPr>
      <w:r>
        <w:rPr>
          <w:sz w:val="27"/>
          <w:szCs w:val="27"/>
          <w:lang w:val="uk-UA"/>
        </w:rPr>
        <w:t>формування та надання пропозицій до переліку;</w:t>
      </w:r>
    </w:p>
    <w:p w14:paraId="1983EE97" w14:textId="77777777" w:rsidR="00447991" w:rsidRDefault="00FC54EF">
      <w:pPr>
        <w:ind w:firstLine="567"/>
        <w:contextualSpacing/>
        <w:jc w:val="both"/>
        <w:rPr>
          <w:sz w:val="27"/>
          <w:szCs w:val="27"/>
          <w:lang w:val="uk-UA"/>
        </w:rPr>
      </w:pPr>
      <w:r>
        <w:rPr>
          <w:sz w:val="27"/>
          <w:szCs w:val="27"/>
          <w:lang w:val="uk-UA"/>
        </w:rPr>
        <w:t xml:space="preserve">укладення споживачами, які можуть набути статусу захищеного споживача, з </w:t>
      </w:r>
      <w:proofErr w:type="spellStart"/>
      <w:r>
        <w:rPr>
          <w:sz w:val="27"/>
          <w:szCs w:val="27"/>
          <w:lang w:val="uk-UA"/>
        </w:rPr>
        <w:t>електропостачальником</w:t>
      </w:r>
      <w:proofErr w:type="spellEnd"/>
      <w:r>
        <w:rPr>
          <w:sz w:val="27"/>
          <w:szCs w:val="27"/>
          <w:lang w:val="uk-UA"/>
        </w:rPr>
        <w:t>, банківською установою та/або органом Державної казначейської служби договорів про договірне списання по всіх рахунках таких споживачів електричної енергії;</w:t>
      </w:r>
    </w:p>
    <w:p w14:paraId="7564CF6C" w14:textId="77777777" w:rsidR="00447991" w:rsidRDefault="00FC54EF">
      <w:pPr>
        <w:ind w:firstLine="567"/>
        <w:contextualSpacing/>
        <w:jc w:val="both"/>
        <w:rPr>
          <w:sz w:val="27"/>
          <w:szCs w:val="27"/>
          <w:lang w:val="uk-UA"/>
        </w:rPr>
      </w:pPr>
      <w:r>
        <w:rPr>
          <w:sz w:val="27"/>
          <w:szCs w:val="27"/>
          <w:lang w:val="uk-UA"/>
        </w:rPr>
        <w:t>розробка та прийняття порядку затвердження переліку захищених споживачів.</w:t>
      </w:r>
    </w:p>
    <w:p w14:paraId="377667C2" w14:textId="77777777" w:rsidR="00447991" w:rsidRDefault="00FC54EF">
      <w:pPr>
        <w:ind w:firstLine="567"/>
        <w:contextualSpacing/>
        <w:jc w:val="both"/>
        <w:rPr>
          <w:sz w:val="27"/>
          <w:szCs w:val="27"/>
          <w:lang w:val="uk-UA"/>
        </w:rPr>
      </w:pPr>
      <w:r>
        <w:rPr>
          <w:sz w:val="27"/>
          <w:szCs w:val="27"/>
          <w:lang w:val="uk-UA"/>
        </w:rPr>
        <w:t xml:space="preserve"> </w:t>
      </w:r>
    </w:p>
    <w:p w14:paraId="54774B53" w14:textId="77777777" w:rsidR="00447991" w:rsidRDefault="00447991">
      <w:pPr>
        <w:ind w:firstLine="567"/>
        <w:contextualSpacing/>
        <w:jc w:val="both"/>
        <w:rPr>
          <w:sz w:val="27"/>
          <w:szCs w:val="27"/>
          <w:lang w:val="uk-UA"/>
        </w:rPr>
      </w:pPr>
    </w:p>
    <w:p w14:paraId="7F91A4C9" w14:textId="77777777" w:rsidR="00447991" w:rsidRDefault="00FC54EF">
      <w:pPr>
        <w:shd w:val="clear" w:color="auto" w:fill="FFFFFF"/>
        <w:ind w:firstLine="567"/>
        <w:jc w:val="center"/>
        <w:textAlignment w:val="baseline"/>
        <w:rPr>
          <w:b/>
          <w:bCs/>
          <w:sz w:val="27"/>
          <w:szCs w:val="27"/>
          <w:bdr w:val="none" w:sz="0" w:space="0" w:color="auto" w:frame="1"/>
          <w:lang w:val="uk-UA" w:eastAsia="uk-UA"/>
        </w:rPr>
      </w:pPr>
      <w:r>
        <w:rPr>
          <w:b/>
          <w:bCs/>
          <w:sz w:val="27"/>
          <w:szCs w:val="27"/>
          <w:bdr w:val="none" w:sz="0" w:space="0" w:color="auto" w:frame="1"/>
          <w:lang w:val="uk-UA" w:eastAsia="uk-UA"/>
        </w:rPr>
        <w:t xml:space="preserve">VI. Оцінка виконання вимог регуляторного </w:t>
      </w:r>
      <w:proofErr w:type="spellStart"/>
      <w:r>
        <w:rPr>
          <w:b/>
          <w:bCs/>
          <w:sz w:val="27"/>
          <w:szCs w:val="27"/>
          <w:bdr w:val="none" w:sz="0" w:space="0" w:color="auto" w:frame="1"/>
          <w:lang w:val="uk-UA" w:eastAsia="uk-UA"/>
        </w:rPr>
        <w:t>акта</w:t>
      </w:r>
      <w:proofErr w:type="spellEnd"/>
      <w:r>
        <w:rPr>
          <w:b/>
          <w:bCs/>
          <w:sz w:val="27"/>
          <w:szCs w:val="27"/>
          <w:bdr w:val="none" w:sz="0" w:space="0" w:color="auto" w:frame="1"/>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16BB9F8" w14:textId="77777777" w:rsidR="00447991" w:rsidRDefault="00447991">
      <w:pPr>
        <w:shd w:val="clear" w:color="auto" w:fill="FFFFFF"/>
        <w:ind w:firstLine="567"/>
        <w:jc w:val="center"/>
        <w:textAlignment w:val="baseline"/>
        <w:rPr>
          <w:sz w:val="27"/>
          <w:szCs w:val="27"/>
          <w:lang w:val="uk-UA" w:eastAsia="uk-UA"/>
        </w:rPr>
      </w:pPr>
    </w:p>
    <w:p w14:paraId="6CCA17D0" w14:textId="76FD568E" w:rsidR="00447991" w:rsidRDefault="00FC54EF">
      <w:pPr>
        <w:ind w:firstLine="567"/>
        <w:jc w:val="both"/>
        <w:textAlignment w:val="baseline"/>
        <w:rPr>
          <w:bCs/>
          <w:color w:val="FF0000"/>
          <w:sz w:val="27"/>
          <w:szCs w:val="27"/>
          <w:bdr w:val="none" w:sz="0" w:space="0" w:color="auto" w:frame="1"/>
          <w:lang w:val="uk-UA" w:eastAsia="uk-UA"/>
        </w:rPr>
      </w:pPr>
      <w:bookmarkStart w:id="3" w:name="n164"/>
      <w:bookmarkEnd w:id="3"/>
      <w:proofErr w:type="spellStart"/>
      <w:r>
        <w:rPr>
          <w:bCs/>
          <w:sz w:val="27"/>
          <w:szCs w:val="27"/>
          <w:bdr w:val="none" w:sz="0" w:space="0" w:color="auto" w:frame="1"/>
          <w:lang w:val="uk-UA" w:eastAsia="uk-UA"/>
        </w:rPr>
        <w:t>Проєктом</w:t>
      </w:r>
      <w:proofErr w:type="spellEnd"/>
      <w:r>
        <w:rPr>
          <w:bCs/>
          <w:sz w:val="27"/>
          <w:szCs w:val="27"/>
          <w:bdr w:val="none" w:sz="0" w:space="0" w:color="auto" w:frame="1"/>
          <w:lang w:val="uk-UA" w:eastAsia="uk-UA"/>
        </w:rPr>
        <w:t xml:space="preserve"> постанови передбачена конкретизація повноважень Міжвідомчої комісії з надання статусу захищеного споживача, центральних органів виконавчої влади, зокрема, центрального органу виконавчої влади, який здійснює збір пропозицій до переліку захищених споживачів відповідно до </w:t>
      </w:r>
      <w:proofErr w:type="spellStart"/>
      <w:r>
        <w:rPr>
          <w:bCs/>
          <w:sz w:val="27"/>
          <w:szCs w:val="27"/>
          <w:bdr w:val="none" w:sz="0" w:space="0" w:color="auto" w:frame="1"/>
          <w:lang w:val="uk-UA" w:eastAsia="uk-UA"/>
        </w:rPr>
        <w:t>проєкту</w:t>
      </w:r>
      <w:proofErr w:type="spellEnd"/>
      <w:r>
        <w:rPr>
          <w:bCs/>
          <w:sz w:val="27"/>
          <w:szCs w:val="27"/>
          <w:bdr w:val="none" w:sz="0" w:space="0" w:color="auto" w:frame="1"/>
          <w:lang w:val="uk-UA" w:eastAsia="uk-UA"/>
        </w:rPr>
        <w:t xml:space="preserve"> постанови, </w:t>
      </w:r>
      <w:proofErr w:type="spellStart"/>
      <w:r>
        <w:rPr>
          <w:bCs/>
          <w:sz w:val="27"/>
          <w:szCs w:val="27"/>
          <w:bdr w:val="none" w:sz="0" w:space="0" w:color="auto" w:frame="1"/>
          <w:lang w:val="uk-UA" w:eastAsia="uk-UA"/>
        </w:rPr>
        <w:t>Держенергонагляду</w:t>
      </w:r>
      <w:proofErr w:type="spellEnd"/>
      <w:r>
        <w:rPr>
          <w:bCs/>
          <w:sz w:val="27"/>
          <w:szCs w:val="27"/>
          <w:bdr w:val="none" w:sz="0" w:space="0" w:color="auto" w:frame="1"/>
          <w:lang w:val="uk-UA" w:eastAsia="uk-UA"/>
        </w:rPr>
        <w:t>, процедури формування переліку захищених споживачів, обмеження, відключення яких може спричинити настання надзвичайної ситуації техногенного характеру.</w:t>
      </w:r>
      <w:r>
        <w:rPr>
          <w:bCs/>
          <w:color w:val="FF0000"/>
          <w:sz w:val="27"/>
          <w:szCs w:val="27"/>
          <w:bdr w:val="none" w:sz="0" w:space="0" w:color="auto" w:frame="1"/>
          <w:lang w:val="uk-UA" w:eastAsia="uk-UA"/>
        </w:rPr>
        <w:t xml:space="preserve"> </w:t>
      </w:r>
    </w:p>
    <w:p w14:paraId="200073A9" w14:textId="77777777" w:rsidR="00447991" w:rsidRDefault="00FC54EF">
      <w:pPr>
        <w:ind w:firstLine="567"/>
        <w:jc w:val="both"/>
        <w:textAlignment w:val="baseline"/>
        <w:rPr>
          <w:bCs/>
          <w:sz w:val="27"/>
          <w:szCs w:val="27"/>
          <w:bdr w:val="none" w:sz="0" w:space="0" w:color="auto" w:frame="1"/>
          <w:lang w:val="uk-UA" w:eastAsia="uk-UA"/>
        </w:rPr>
      </w:pPr>
      <w:r>
        <w:rPr>
          <w:bCs/>
          <w:sz w:val="27"/>
          <w:szCs w:val="27"/>
          <w:bdr w:val="none" w:sz="0" w:space="0" w:color="auto" w:frame="1"/>
          <w:lang w:val="uk-UA" w:eastAsia="uk-UA"/>
        </w:rPr>
        <w:t xml:space="preserve">Розрахунок витрат на одного суб’єкта господарювання, які виникають внаслідок дії регуляторного </w:t>
      </w:r>
      <w:proofErr w:type="spellStart"/>
      <w:r>
        <w:rPr>
          <w:bCs/>
          <w:sz w:val="27"/>
          <w:szCs w:val="27"/>
          <w:bdr w:val="none" w:sz="0" w:space="0" w:color="auto" w:frame="1"/>
          <w:lang w:val="uk-UA" w:eastAsia="uk-UA"/>
        </w:rPr>
        <w:t>акта</w:t>
      </w:r>
      <w:proofErr w:type="spellEnd"/>
      <w:r>
        <w:rPr>
          <w:bCs/>
          <w:sz w:val="27"/>
          <w:szCs w:val="27"/>
          <w:bdr w:val="none" w:sz="0" w:space="0" w:color="auto" w:frame="1"/>
          <w:lang w:val="uk-UA" w:eastAsia="uk-UA"/>
        </w:rPr>
        <w:t xml:space="preserve"> (альтернатива 1) в додатку 1 до аналізу регуляторного впливу.</w:t>
      </w:r>
    </w:p>
    <w:p w14:paraId="4C61DFDA" w14:textId="051D1B7A" w:rsidR="00447991" w:rsidRDefault="00FC54EF">
      <w:pPr>
        <w:ind w:firstLine="567"/>
        <w:jc w:val="both"/>
        <w:textAlignment w:val="baseline"/>
        <w:rPr>
          <w:bCs/>
          <w:sz w:val="27"/>
          <w:szCs w:val="27"/>
          <w:bdr w:val="none" w:sz="0" w:space="0" w:color="auto" w:frame="1"/>
          <w:lang w:val="uk-UA" w:eastAsia="uk-UA"/>
        </w:rPr>
      </w:pPr>
      <w:r>
        <w:rPr>
          <w:bCs/>
          <w:sz w:val="27"/>
          <w:szCs w:val="27"/>
          <w:bdr w:val="none" w:sz="0" w:space="0" w:color="auto" w:frame="1"/>
          <w:lang w:val="uk-UA" w:eastAsia="uk-UA"/>
        </w:rPr>
        <w:t xml:space="preserve">Розрахунок бюджетних витрат на адміністрування регулювання для суб’єктів великого і середнього підприємництва Мінекономіки </w:t>
      </w:r>
      <w:r>
        <w:rPr>
          <w:sz w:val="27"/>
          <w:szCs w:val="27"/>
          <w:lang w:val="uk-UA"/>
        </w:rPr>
        <w:t>в додатку 3 до аналізу регуляторного впливу.</w:t>
      </w:r>
    </w:p>
    <w:p w14:paraId="61D596A5" w14:textId="723AA040" w:rsidR="00447991" w:rsidRDefault="00FC54EF">
      <w:pPr>
        <w:ind w:firstLine="567"/>
        <w:jc w:val="both"/>
        <w:textAlignment w:val="baseline"/>
        <w:rPr>
          <w:b/>
          <w:bCs/>
          <w:sz w:val="27"/>
          <w:szCs w:val="27"/>
          <w:bdr w:val="none" w:sz="0" w:space="0" w:color="auto" w:frame="1"/>
          <w:lang w:val="uk-UA" w:eastAsia="uk-UA"/>
        </w:rPr>
      </w:pPr>
      <w:r>
        <w:rPr>
          <w:bCs/>
          <w:sz w:val="27"/>
          <w:szCs w:val="27"/>
          <w:bdr w:val="none" w:sz="0" w:space="0" w:color="auto" w:frame="1"/>
          <w:lang w:val="uk-UA" w:eastAsia="uk-UA"/>
        </w:rPr>
        <w:t>Питома вага суб’єктів малого підприємництва (малих та мікропідприємств разом) у загальній кількості суб’єктів господарювання, на яких поширюється дія регулювання,</w:t>
      </w:r>
      <w:r>
        <w:rPr>
          <w:bCs/>
          <w:color w:val="FF0000"/>
          <w:sz w:val="27"/>
          <w:szCs w:val="27"/>
          <w:bdr w:val="none" w:sz="0" w:space="0" w:color="auto" w:frame="1"/>
          <w:lang w:val="uk-UA" w:eastAsia="uk-UA"/>
        </w:rPr>
        <w:t xml:space="preserve"> </w:t>
      </w:r>
      <w:r>
        <w:rPr>
          <w:bCs/>
          <w:sz w:val="27"/>
          <w:szCs w:val="27"/>
          <w:bdr w:val="none" w:sz="0" w:space="0" w:color="auto" w:frame="1"/>
          <w:lang w:val="uk-UA" w:eastAsia="uk-UA"/>
        </w:rPr>
        <w:t>становить більше 10 відсотків, тому розроблено розрахунок витрат на запровадження державного регулювання для вказаних суб’єктів згідно з додатком</w:t>
      </w:r>
      <w:r w:rsidR="005E13CC">
        <w:rPr>
          <w:bCs/>
          <w:sz w:val="27"/>
          <w:szCs w:val="27"/>
          <w:bdr w:val="none" w:sz="0" w:space="0" w:color="auto" w:frame="1"/>
          <w:lang w:val="uk-UA" w:eastAsia="uk-UA"/>
        </w:rPr>
        <w:t> </w:t>
      </w:r>
      <w:r>
        <w:rPr>
          <w:bCs/>
          <w:sz w:val="27"/>
          <w:szCs w:val="27"/>
          <w:bdr w:val="none" w:sz="0" w:space="0" w:color="auto" w:frame="1"/>
          <w:lang w:val="uk-UA" w:eastAsia="uk-UA"/>
        </w:rPr>
        <w:t xml:space="preserve">4 до Методики проведення аналізу впливу регуляторного </w:t>
      </w:r>
      <w:proofErr w:type="spellStart"/>
      <w:r>
        <w:rPr>
          <w:bCs/>
          <w:sz w:val="27"/>
          <w:szCs w:val="27"/>
          <w:bdr w:val="none" w:sz="0" w:space="0" w:color="auto" w:frame="1"/>
          <w:lang w:val="uk-UA" w:eastAsia="uk-UA"/>
        </w:rPr>
        <w:t>акта</w:t>
      </w:r>
      <w:proofErr w:type="spellEnd"/>
      <w:r>
        <w:rPr>
          <w:bCs/>
          <w:sz w:val="27"/>
          <w:szCs w:val="27"/>
          <w:bdr w:val="none" w:sz="0" w:space="0" w:color="auto" w:frame="1"/>
          <w:lang w:val="uk-UA" w:eastAsia="uk-UA"/>
        </w:rPr>
        <w:t xml:space="preserve">, затвердженої </w:t>
      </w:r>
      <w:r>
        <w:rPr>
          <w:bCs/>
          <w:sz w:val="27"/>
          <w:szCs w:val="27"/>
          <w:bdr w:val="none" w:sz="0" w:space="0" w:color="auto" w:frame="1"/>
          <w:lang w:val="uk-UA" w:eastAsia="uk-UA"/>
        </w:rPr>
        <w:lastRenderedPageBreak/>
        <w:t>постановою Кабінету Міністрів України від 11 березня 2004 р</w:t>
      </w:r>
      <w:r w:rsidR="005E13CC">
        <w:rPr>
          <w:bCs/>
          <w:sz w:val="27"/>
          <w:szCs w:val="27"/>
          <w:bdr w:val="none" w:sz="0" w:space="0" w:color="auto" w:frame="1"/>
          <w:lang w:val="uk-UA" w:eastAsia="uk-UA"/>
        </w:rPr>
        <w:t>оку</w:t>
      </w:r>
      <w:r>
        <w:rPr>
          <w:bCs/>
          <w:sz w:val="27"/>
          <w:szCs w:val="27"/>
          <w:bdr w:val="none" w:sz="0" w:space="0" w:color="auto" w:frame="1"/>
          <w:lang w:val="uk-UA" w:eastAsia="uk-UA"/>
        </w:rPr>
        <w:t xml:space="preserve"> № 308, (Тест малого підприємництва), що додається (Додаток 2 до аналізу регуляторного впливу)</w:t>
      </w:r>
      <w:r w:rsidRPr="003A6167">
        <w:rPr>
          <w:sz w:val="27"/>
          <w:szCs w:val="27"/>
          <w:bdr w:val="none" w:sz="0" w:space="0" w:color="auto" w:frame="1"/>
          <w:lang w:val="uk-UA" w:eastAsia="uk-UA"/>
        </w:rPr>
        <w:t>.</w:t>
      </w:r>
    </w:p>
    <w:p w14:paraId="5A0119B9" w14:textId="77777777" w:rsidR="00447991" w:rsidRDefault="00447991">
      <w:pPr>
        <w:ind w:firstLine="567"/>
        <w:jc w:val="both"/>
        <w:textAlignment w:val="baseline"/>
        <w:rPr>
          <w:bCs/>
          <w:sz w:val="27"/>
          <w:szCs w:val="27"/>
          <w:bdr w:val="none" w:sz="0" w:space="0" w:color="auto" w:frame="1"/>
          <w:lang w:val="uk-UA" w:eastAsia="uk-UA"/>
        </w:rPr>
      </w:pPr>
    </w:p>
    <w:p w14:paraId="7744A99E" w14:textId="77777777" w:rsidR="00447991" w:rsidRDefault="00FC54EF">
      <w:pPr>
        <w:shd w:val="clear" w:color="auto" w:fill="FFFFFF"/>
        <w:ind w:firstLine="567"/>
        <w:jc w:val="center"/>
        <w:textAlignment w:val="baseline"/>
        <w:rPr>
          <w:b/>
          <w:bCs/>
          <w:sz w:val="27"/>
          <w:szCs w:val="27"/>
          <w:bdr w:val="none" w:sz="0" w:space="0" w:color="auto" w:frame="1"/>
          <w:lang w:val="uk-UA" w:eastAsia="uk-UA"/>
        </w:rPr>
      </w:pPr>
      <w:r>
        <w:rPr>
          <w:b/>
          <w:bCs/>
          <w:sz w:val="27"/>
          <w:szCs w:val="27"/>
          <w:bdr w:val="none" w:sz="0" w:space="0" w:color="auto" w:frame="1"/>
          <w:lang w:val="uk-UA" w:eastAsia="uk-UA"/>
        </w:rPr>
        <w:t xml:space="preserve">VII. Обґрунтування запропонованого строку дії регуляторного </w:t>
      </w:r>
      <w:proofErr w:type="spellStart"/>
      <w:r>
        <w:rPr>
          <w:b/>
          <w:bCs/>
          <w:sz w:val="27"/>
          <w:szCs w:val="27"/>
          <w:bdr w:val="none" w:sz="0" w:space="0" w:color="auto" w:frame="1"/>
          <w:lang w:val="uk-UA" w:eastAsia="uk-UA"/>
        </w:rPr>
        <w:t>акта</w:t>
      </w:r>
      <w:proofErr w:type="spellEnd"/>
    </w:p>
    <w:p w14:paraId="202C0351" w14:textId="77777777" w:rsidR="00447991" w:rsidRDefault="00447991">
      <w:pPr>
        <w:shd w:val="clear" w:color="auto" w:fill="FFFFFF"/>
        <w:ind w:firstLine="567"/>
        <w:jc w:val="both"/>
        <w:textAlignment w:val="baseline"/>
        <w:rPr>
          <w:b/>
          <w:bCs/>
          <w:sz w:val="27"/>
          <w:szCs w:val="27"/>
          <w:bdr w:val="none" w:sz="0" w:space="0" w:color="auto" w:frame="1"/>
          <w:lang w:val="uk-UA" w:eastAsia="uk-UA"/>
        </w:rPr>
      </w:pPr>
    </w:p>
    <w:p w14:paraId="53880A13" w14:textId="70119CD7" w:rsidR="00447991" w:rsidRDefault="00FC54EF">
      <w:pPr>
        <w:ind w:firstLine="567"/>
        <w:jc w:val="both"/>
        <w:rPr>
          <w:sz w:val="27"/>
          <w:szCs w:val="27"/>
          <w:lang w:val="uk-UA"/>
        </w:rPr>
      </w:pPr>
      <w:r>
        <w:rPr>
          <w:sz w:val="27"/>
          <w:szCs w:val="27"/>
          <w:lang w:val="uk-UA"/>
        </w:rPr>
        <w:t xml:space="preserve">Строк дії </w:t>
      </w:r>
      <w:proofErr w:type="spellStart"/>
      <w:r>
        <w:rPr>
          <w:bCs/>
          <w:sz w:val="27"/>
          <w:szCs w:val="27"/>
          <w:lang w:val="uk-UA"/>
        </w:rPr>
        <w:t>проєкту</w:t>
      </w:r>
      <w:proofErr w:type="spellEnd"/>
      <w:r>
        <w:rPr>
          <w:bCs/>
          <w:sz w:val="27"/>
          <w:szCs w:val="27"/>
          <w:lang w:val="uk-UA"/>
        </w:rPr>
        <w:t xml:space="preserve"> постанови </w:t>
      </w:r>
      <w:r>
        <w:rPr>
          <w:sz w:val="27"/>
          <w:szCs w:val="27"/>
          <w:lang w:val="uk-UA"/>
        </w:rPr>
        <w:t xml:space="preserve">не обмежується у часі, що </w:t>
      </w:r>
      <w:proofErr w:type="spellStart"/>
      <w:r>
        <w:rPr>
          <w:sz w:val="27"/>
          <w:szCs w:val="27"/>
          <w:lang w:val="uk-UA"/>
        </w:rPr>
        <w:t>надасть</w:t>
      </w:r>
      <w:proofErr w:type="spellEnd"/>
      <w:r>
        <w:rPr>
          <w:sz w:val="27"/>
          <w:szCs w:val="27"/>
          <w:lang w:val="uk-UA"/>
        </w:rPr>
        <w:t xml:space="preserve"> можливість розв’язати проблему та досягти цілей державного регулювання.</w:t>
      </w:r>
    </w:p>
    <w:p w14:paraId="24F757F7" w14:textId="77777777" w:rsidR="00447991" w:rsidRDefault="00FC54EF">
      <w:pPr>
        <w:ind w:firstLine="567"/>
        <w:jc w:val="both"/>
        <w:rPr>
          <w:sz w:val="27"/>
          <w:szCs w:val="27"/>
          <w:lang w:val="uk-UA"/>
        </w:rPr>
      </w:pPr>
      <w:r>
        <w:rPr>
          <w:sz w:val="27"/>
          <w:szCs w:val="27"/>
          <w:lang w:val="uk-UA"/>
        </w:rPr>
        <w:t>Постанова Кабінету Міністрів України набирає чинності відповідно до законодавства з дня її офіційного опублікування, крім пункту 2 змін, затверджених цією постановою, який набирає чинності через два місяці після набрання чинності цією постановою.</w:t>
      </w:r>
    </w:p>
    <w:p w14:paraId="3FF66922" w14:textId="77777777" w:rsidR="00447991" w:rsidRDefault="00447991">
      <w:pPr>
        <w:ind w:firstLine="567"/>
        <w:jc w:val="both"/>
        <w:rPr>
          <w:sz w:val="27"/>
          <w:szCs w:val="27"/>
          <w:lang w:val="uk-UA"/>
        </w:rPr>
      </w:pPr>
    </w:p>
    <w:p w14:paraId="6B2C255A" w14:textId="77777777" w:rsidR="00447991" w:rsidRDefault="00FC54EF">
      <w:pPr>
        <w:shd w:val="clear" w:color="auto" w:fill="FFFFFF"/>
        <w:ind w:firstLine="567"/>
        <w:jc w:val="center"/>
        <w:textAlignment w:val="baseline"/>
        <w:rPr>
          <w:sz w:val="27"/>
          <w:szCs w:val="27"/>
          <w:lang w:val="uk-UA" w:eastAsia="uk-UA"/>
        </w:rPr>
      </w:pPr>
      <w:r>
        <w:rPr>
          <w:b/>
          <w:bCs/>
          <w:sz w:val="27"/>
          <w:szCs w:val="27"/>
          <w:bdr w:val="none" w:sz="0" w:space="0" w:color="auto" w:frame="1"/>
          <w:lang w:val="uk-UA" w:eastAsia="uk-UA"/>
        </w:rPr>
        <w:t xml:space="preserve">VIII. Визначення показників результативності дії регуляторного </w:t>
      </w:r>
      <w:proofErr w:type="spellStart"/>
      <w:r>
        <w:rPr>
          <w:b/>
          <w:bCs/>
          <w:sz w:val="27"/>
          <w:szCs w:val="27"/>
          <w:bdr w:val="none" w:sz="0" w:space="0" w:color="auto" w:frame="1"/>
          <w:lang w:val="uk-UA" w:eastAsia="uk-UA"/>
        </w:rPr>
        <w:t>акта</w:t>
      </w:r>
      <w:proofErr w:type="spellEnd"/>
    </w:p>
    <w:p w14:paraId="17A1CC08" w14:textId="77777777" w:rsidR="00447991" w:rsidRDefault="00447991">
      <w:pPr>
        <w:shd w:val="clear" w:color="auto" w:fill="FFFFFF"/>
        <w:ind w:firstLine="567"/>
        <w:jc w:val="center"/>
        <w:textAlignment w:val="baseline"/>
        <w:rPr>
          <w:sz w:val="27"/>
          <w:szCs w:val="27"/>
          <w:lang w:val="uk-UA" w:eastAsia="uk-UA"/>
        </w:rPr>
      </w:pPr>
      <w:bookmarkStart w:id="4" w:name="n169"/>
      <w:bookmarkStart w:id="5" w:name="n170"/>
      <w:bookmarkEnd w:id="4"/>
      <w:bookmarkEnd w:id="5"/>
    </w:p>
    <w:p w14:paraId="351D1CC2" w14:textId="77777777" w:rsidR="00447991" w:rsidRDefault="00FC54EF">
      <w:pPr>
        <w:pStyle w:val="a8"/>
        <w:ind w:firstLine="567"/>
        <w:jc w:val="both"/>
        <w:rPr>
          <w:rFonts w:ascii="Times New Roman" w:hAnsi="Times New Roman"/>
          <w:sz w:val="27"/>
          <w:szCs w:val="27"/>
        </w:rPr>
      </w:pPr>
      <w:r>
        <w:rPr>
          <w:rFonts w:ascii="Times New Roman" w:hAnsi="Times New Roman"/>
          <w:sz w:val="27"/>
          <w:szCs w:val="27"/>
          <w:lang w:val="uk-UA"/>
        </w:rPr>
        <w:t xml:space="preserve">Обов’язковими показниками результативності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постанови:</w:t>
      </w:r>
    </w:p>
    <w:p w14:paraId="38E50DC0" w14:textId="77777777"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Розмір надходжень до державного бюджету та місцевих бюджетів – 0 грн.</w:t>
      </w:r>
    </w:p>
    <w:p w14:paraId="464D5F55" w14:textId="133CF7CB"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 xml:space="preserve">Кількість суб’єктів господарювання, на яких поширюється дія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постанови</w:t>
      </w:r>
      <w:r w:rsidR="006618B9">
        <w:rPr>
          <w:rFonts w:ascii="Times New Roman" w:hAnsi="Times New Roman"/>
          <w:sz w:val="27"/>
          <w:szCs w:val="27"/>
          <w:lang w:val="uk-UA"/>
        </w:rPr>
        <w:t xml:space="preserve"> </w:t>
      </w:r>
      <w:r>
        <w:rPr>
          <w:rFonts w:ascii="Times New Roman" w:hAnsi="Times New Roman"/>
          <w:sz w:val="27"/>
          <w:szCs w:val="27"/>
          <w:lang w:val="uk-UA"/>
        </w:rPr>
        <w:t>– 1325.</w:t>
      </w:r>
    </w:p>
    <w:p w14:paraId="214F1EE4" w14:textId="24FAE5EA"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 xml:space="preserve">Розмір коштів і час, які витрачатимуть суб’єкти господарювання на виконання вимог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постанови  – 1 725 552,0 грн (за перший рік). </w:t>
      </w:r>
      <w:r>
        <w:rPr>
          <w:rFonts w:ascii="Times New Roman" w:hAnsi="Times New Roman"/>
          <w:color w:val="FF0000"/>
          <w:sz w:val="27"/>
          <w:szCs w:val="27"/>
          <w:lang w:val="uk-UA"/>
        </w:rPr>
        <w:t xml:space="preserve"> </w:t>
      </w:r>
    </w:p>
    <w:p w14:paraId="7360D097" w14:textId="6600C675"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 xml:space="preserve">Рівень поінформованості суб’єктів господарювання стосовно основних положень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постанови – 100% (</w:t>
      </w:r>
      <w:proofErr w:type="spellStart"/>
      <w:r>
        <w:rPr>
          <w:rFonts w:ascii="Times New Roman" w:hAnsi="Times New Roman"/>
          <w:sz w:val="27"/>
          <w:szCs w:val="27"/>
          <w:lang w:val="uk-UA"/>
        </w:rPr>
        <w:t>проєкт</w:t>
      </w:r>
      <w:proofErr w:type="spellEnd"/>
      <w:r>
        <w:rPr>
          <w:rFonts w:ascii="Times New Roman" w:hAnsi="Times New Roman"/>
          <w:sz w:val="27"/>
          <w:szCs w:val="27"/>
          <w:lang w:val="uk-UA"/>
        </w:rPr>
        <w:t xml:space="preserve"> постанови та відповідний аналіз регуляторного впливу розміщено на офіційному </w:t>
      </w:r>
      <w:proofErr w:type="spellStart"/>
      <w:r>
        <w:rPr>
          <w:rFonts w:ascii="Times New Roman" w:hAnsi="Times New Roman"/>
          <w:sz w:val="27"/>
          <w:szCs w:val="27"/>
          <w:lang w:val="uk-UA"/>
        </w:rPr>
        <w:t>вебсайті</w:t>
      </w:r>
      <w:proofErr w:type="spellEnd"/>
      <w:r>
        <w:rPr>
          <w:rFonts w:ascii="Times New Roman" w:hAnsi="Times New Roman"/>
          <w:sz w:val="27"/>
          <w:szCs w:val="27"/>
          <w:lang w:val="uk-UA"/>
        </w:rPr>
        <w:t xml:space="preserve"> </w:t>
      </w:r>
      <w:r w:rsidR="006618B9">
        <w:rPr>
          <w:rFonts w:ascii="Times New Roman" w:hAnsi="Times New Roman"/>
          <w:sz w:val="27"/>
          <w:szCs w:val="27"/>
          <w:lang w:val="uk-UA"/>
        </w:rPr>
        <w:t>Міненерго</w:t>
      </w:r>
      <w:r>
        <w:rPr>
          <w:rFonts w:ascii="Times New Roman" w:hAnsi="Times New Roman"/>
          <w:sz w:val="27"/>
          <w:szCs w:val="27"/>
          <w:lang w:val="uk-UA"/>
        </w:rPr>
        <w:t xml:space="preserve"> в мережі Інтернет </w:t>
      </w:r>
      <w:hyperlink r:id="rId10" w:history="1">
        <w:r>
          <w:rPr>
            <w:rStyle w:val="ae"/>
            <w:rFonts w:ascii="Times New Roman" w:hAnsi="Times New Roman"/>
            <w:color w:val="auto"/>
            <w:sz w:val="27"/>
            <w:szCs w:val="27"/>
            <w:lang w:val="uk-UA"/>
          </w:rPr>
          <w:t>https://mev.gov.ua</w:t>
        </w:r>
      </w:hyperlink>
      <w:r>
        <w:rPr>
          <w:rFonts w:ascii="Times New Roman" w:hAnsi="Times New Roman"/>
          <w:sz w:val="27"/>
          <w:szCs w:val="27"/>
          <w:lang w:val="uk-UA"/>
        </w:rPr>
        <w:t xml:space="preserve"> та Мін</w:t>
      </w:r>
      <w:r w:rsidR="006618B9">
        <w:rPr>
          <w:rFonts w:ascii="Times New Roman" w:hAnsi="Times New Roman"/>
          <w:sz w:val="27"/>
          <w:szCs w:val="27"/>
          <w:lang w:val="uk-UA"/>
        </w:rPr>
        <w:t xml:space="preserve">енерго </w:t>
      </w:r>
      <w:r>
        <w:rPr>
          <w:rFonts w:ascii="Times New Roman" w:hAnsi="Times New Roman"/>
          <w:sz w:val="27"/>
          <w:szCs w:val="27"/>
          <w:lang w:val="uk-UA"/>
        </w:rPr>
        <w:t xml:space="preserve">у межах компетенції надає необхідні роз’яснення щодо норм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постанови).</w:t>
      </w:r>
    </w:p>
    <w:p w14:paraId="642F20CC" w14:textId="77777777" w:rsidR="00447991" w:rsidRDefault="00FC54EF">
      <w:pPr>
        <w:pStyle w:val="a8"/>
        <w:tabs>
          <w:tab w:val="left" w:pos="426"/>
        </w:tabs>
        <w:ind w:left="426"/>
        <w:jc w:val="both"/>
        <w:rPr>
          <w:rFonts w:ascii="Times New Roman" w:hAnsi="Times New Roman"/>
          <w:sz w:val="27"/>
          <w:szCs w:val="27"/>
          <w:lang w:val="uk-UA"/>
        </w:rPr>
      </w:pPr>
      <w:r>
        <w:rPr>
          <w:rFonts w:ascii="Times New Roman" w:hAnsi="Times New Roman"/>
          <w:sz w:val="27"/>
          <w:szCs w:val="27"/>
          <w:lang w:val="uk-UA"/>
        </w:rPr>
        <w:t xml:space="preserve">Додаткові показники результативності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постанови:</w:t>
      </w:r>
    </w:p>
    <w:p w14:paraId="7F0A1A55" w14:textId="77777777"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 xml:space="preserve">Кількість поданих пропозицій для отримання </w:t>
      </w:r>
      <w:proofErr w:type="spellStart"/>
      <w:r>
        <w:rPr>
          <w:rFonts w:ascii="Times New Roman" w:hAnsi="Times New Roman"/>
          <w:sz w:val="27"/>
          <w:szCs w:val="27"/>
          <w:lang w:val="uk-UA"/>
        </w:rPr>
        <w:t>суб</w:t>
      </w:r>
      <w:proofErr w:type="spellEnd"/>
      <w:r>
        <w:rPr>
          <w:rFonts w:ascii="Times New Roman" w:hAnsi="Times New Roman"/>
          <w:sz w:val="27"/>
          <w:szCs w:val="27"/>
        </w:rPr>
        <w:t>’</w:t>
      </w:r>
      <w:proofErr w:type="spellStart"/>
      <w:r>
        <w:rPr>
          <w:rFonts w:ascii="Times New Roman" w:hAnsi="Times New Roman"/>
          <w:sz w:val="27"/>
          <w:szCs w:val="27"/>
          <w:lang w:val="uk-UA"/>
        </w:rPr>
        <w:t>єктами</w:t>
      </w:r>
      <w:proofErr w:type="spellEnd"/>
      <w:r>
        <w:rPr>
          <w:rFonts w:ascii="Times New Roman" w:hAnsi="Times New Roman"/>
          <w:sz w:val="27"/>
          <w:szCs w:val="27"/>
          <w:lang w:val="uk-UA"/>
        </w:rPr>
        <w:t xml:space="preserve"> господарювання визначених категорій статусу захищених споживачів.</w:t>
      </w:r>
    </w:p>
    <w:p w14:paraId="41A1221E" w14:textId="77777777"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Кількість укладених договорів про договірне списання.</w:t>
      </w:r>
    </w:p>
    <w:p w14:paraId="5DA6C0D3" w14:textId="77777777"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Кількість суб’єктів господарювання, які отримали статус захищеного споживача.</w:t>
      </w:r>
    </w:p>
    <w:p w14:paraId="61403604" w14:textId="77777777" w:rsidR="00447991" w:rsidRDefault="00FC54EF">
      <w:pPr>
        <w:pStyle w:val="a8"/>
        <w:numPr>
          <w:ilvl w:val="0"/>
          <w:numId w:val="10"/>
        </w:numPr>
        <w:tabs>
          <w:tab w:val="left" w:pos="426"/>
        </w:tabs>
        <w:ind w:left="0" w:firstLine="426"/>
        <w:jc w:val="both"/>
        <w:rPr>
          <w:rFonts w:ascii="Times New Roman" w:hAnsi="Times New Roman"/>
          <w:sz w:val="27"/>
          <w:szCs w:val="27"/>
          <w:lang w:val="uk-UA"/>
        </w:rPr>
      </w:pPr>
      <w:r>
        <w:rPr>
          <w:rFonts w:ascii="Times New Roman" w:hAnsi="Times New Roman"/>
          <w:sz w:val="27"/>
          <w:szCs w:val="27"/>
          <w:lang w:val="uk-UA"/>
        </w:rPr>
        <w:t>Зменшення рівня заборгованості на ринку електричної енергії захищеними споживачами.</w:t>
      </w:r>
    </w:p>
    <w:p w14:paraId="77652FB6" w14:textId="77777777" w:rsidR="00447991" w:rsidRDefault="00FC54EF">
      <w:pPr>
        <w:pStyle w:val="a8"/>
        <w:tabs>
          <w:tab w:val="left" w:pos="1134"/>
        </w:tabs>
        <w:ind w:firstLine="567"/>
        <w:jc w:val="both"/>
        <w:rPr>
          <w:rFonts w:ascii="Times New Roman" w:hAnsi="Times New Roman"/>
          <w:sz w:val="27"/>
          <w:szCs w:val="27"/>
          <w:lang w:val="uk-UA"/>
        </w:rPr>
      </w:pPr>
      <w:r>
        <w:rPr>
          <w:rFonts w:ascii="Times New Roman" w:hAnsi="Times New Roman"/>
          <w:sz w:val="27"/>
          <w:szCs w:val="27"/>
          <w:lang w:val="uk-UA"/>
        </w:rPr>
        <w:t>Кількісне значення додаткових показників буде визначено статистичним методом під час проведення базового відстеження.</w:t>
      </w:r>
    </w:p>
    <w:p w14:paraId="7FE44768" w14:textId="77777777" w:rsidR="00447991" w:rsidRDefault="00447991">
      <w:pPr>
        <w:pStyle w:val="a8"/>
        <w:jc w:val="both"/>
        <w:rPr>
          <w:rFonts w:ascii="Times New Roman" w:hAnsi="Times New Roman"/>
          <w:sz w:val="27"/>
          <w:szCs w:val="27"/>
          <w:lang w:val="uk-UA"/>
        </w:rPr>
      </w:pPr>
    </w:p>
    <w:p w14:paraId="73946F5E" w14:textId="77777777" w:rsidR="00447991" w:rsidRDefault="00FC54EF">
      <w:pPr>
        <w:pStyle w:val="a8"/>
        <w:jc w:val="center"/>
        <w:rPr>
          <w:rFonts w:ascii="Times New Roman" w:hAnsi="Times New Roman"/>
          <w:b/>
          <w:bCs/>
          <w:sz w:val="27"/>
          <w:szCs w:val="27"/>
          <w:bdr w:val="none" w:sz="0" w:space="0" w:color="auto" w:frame="1"/>
          <w:lang w:val="uk-UA" w:eastAsia="uk-UA"/>
        </w:rPr>
      </w:pPr>
      <w:r>
        <w:rPr>
          <w:rFonts w:ascii="Times New Roman" w:hAnsi="Times New Roman"/>
          <w:b/>
          <w:bCs/>
          <w:sz w:val="27"/>
          <w:szCs w:val="27"/>
          <w:bdr w:val="none" w:sz="0" w:space="0" w:color="auto" w:frame="1"/>
          <w:lang w:val="uk-UA" w:eastAsia="uk-UA"/>
        </w:rPr>
        <w:t xml:space="preserve">IX. Визначення заходів, за допомогою яких здійснюватиметься відстеження результативності дії регуляторного </w:t>
      </w:r>
      <w:proofErr w:type="spellStart"/>
      <w:r>
        <w:rPr>
          <w:rFonts w:ascii="Times New Roman" w:hAnsi="Times New Roman"/>
          <w:b/>
          <w:bCs/>
          <w:sz w:val="27"/>
          <w:szCs w:val="27"/>
          <w:bdr w:val="none" w:sz="0" w:space="0" w:color="auto" w:frame="1"/>
          <w:lang w:val="uk-UA" w:eastAsia="uk-UA"/>
        </w:rPr>
        <w:t>акта</w:t>
      </w:r>
      <w:proofErr w:type="spellEnd"/>
    </w:p>
    <w:p w14:paraId="5FEB32EA" w14:textId="77777777" w:rsidR="006618B9" w:rsidRDefault="006618B9">
      <w:pPr>
        <w:pStyle w:val="a8"/>
        <w:jc w:val="center"/>
        <w:rPr>
          <w:rFonts w:ascii="Times New Roman" w:hAnsi="Times New Roman"/>
          <w:b/>
          <w:bCs/>
          <w:sz w:val="27"/>
          <w:szCs w:val="27"/>
          <w:bdr w:val="none" w:sz="0" w:space="0" w:color="auto" w:frame="1"/>
          <w:lang w:val="uk-UA" w:eastAsia="uk-UA"/>
        </w:rPr>
      </w:pPr>
    </w:p>
    <w:p w14:paraId="20815C77" w14:textId="77777777" w:rsidR="00447991" w:rsidRDefault="00FC54EF">
      <w:pPr>
        <w:shd w:val="clear" w:color="auto" w:fill="FFFFFF"/>
        <w:ind w:firstLine="567"/>
        <w:jc w:val="both"/>
        <w:textAlignment w:val="baseline"/>
        <w:rPr>
          <w:bCs/>
          <w:sz w:val="27"/>
          <w:szCs w:val="27"/>
          <w:bdr w:val="none" w:sz="0" w:space="0" w:color="auto" w:frame="1"/>
          <w:lang w:val="uk-UA" w:eastAsia="uk-UA"/>
        </w:rPr>
      </w:pPr>
      <w:r>
        <w:rPr>
          <w:bCs/>
          <w:sz w:val="27"/>
          <w:szCs w:val="27"/>
          <w:bdr w:val="none" w:sz="0" w:space="0" w:color="auto" w:frame="1"/>
          <w:lang w:val="uk-UA" w:eastAsia="uk-UA"/>
        </w:rPr>
        <w:t xml:space="preserve">Строк проведення базового відстеження результативності дії регуляторного </w:t>
      </w:r>
      <w:proofErr w:type="spellStart"/>
      <w:r>
        <w:rPr>
          <w:bCs/>
          <w:sz w:val="27"/>
          <w:szCs w:val="27"/>
          <w:bdr w:val="none" w:sz="0" w:space="0" w:color="auto" w:frame="1"/>
          <w:lang w:val="uk-UA" w:eastAsia="uk-UA"/>
        </w:rPr>
        <w:t>акта</w:t>
      </w:r>
      <w:proofErr w:type="spellEnd"/>
      <w:r>
        <w:rPr>
          <w:bCs/>
          <w:sz w:val="27"/>
          <w:szCs w:val="27"/>
          <w:bdr w:val="none" w:sz="0" w:space="0" w:color="auto" w:frame="1"/>
          <w:lang w:val="uk-UA" w:eastAsia="uk-UA"/>
        </w:rPr>
        <w:t xml:space="preserve"> – через 1 рік після набрання чинності регуляторним актом.</w:t>
      </w:r>
    </w:p>
    <w:p w14:paraId="1DC509B0" w14:textId="77777777" w:rsidR="00447991" w:rsidRDefault="00FC54EF">
      <w:pPr>
        <w:pStyle w:val="a8"/>
        <w:ind w:firstLine="567"/>
        <w:jc w:val="both"/>
        <w:rPr>
          <w:rFonts w:ascii="Times New Roman" w:eastAsia="Times New Roman" w:hAnsi="Times New Roman"/>
          <w:bCs/>
          <w:sz w:val="27"/>
          <w:szCs w:val="27"/>
          <w:bdr w:val="none" w:sz="0" w:space="0" w:color="auto" w:frame="1"/>
          <w:lang w:val="uk-UA" w:eastAsia="uk-UA"/>
        </w:rPr>
      </w:pPr>
      <w:r>
        <w:rPr>
          <w:rFonts w:ascii="Times New Roman" w:eastAsia="Times New Roman" w:hAnsi="Times New Roman"/>
          <w:bCs/>
          <w:sz w:val="27"/>
          <w:szCs w:val="27"/>
          <w:bdr w:val="none" w:sz="0" w:space="0" w:color="auto" w:frame="1"/>
          <w:lang w:val="uk-UA" w:eastAsia="uk-UA"/>
        </w:rPr>
        <w:t xml:space="preserve">Строк проведення повторного відстеження результативності дії регуляторного </w:t>
      </w:r>
      <w:proofErr w:type="spellStart"/>
      <w:r>
        <w:rPr>
          <w:rFonts w:ascii="Times New Roman" w:eastAsia="Times New Roman" w:hAnsi="Times New Roman"/>
          <w:bCs/>
          <w:sz w:val="27"/>
          <w:szCs w:val="27"/>
          <w:bdr w:val="none" w:sz="0" w:space="0" w:color="auto" w:frame="1"/>
          <w:lang w:val="uk-UA" w:eastAsia="uk-UA"/>
        </w:rPr>
        <w:t>акта</w:t>
      </w:r>
      <w:proofErr w:type="spellEnd"/>
      <w:r>
        <w:rPr>
          <w:rFonts w:ascii="Times New Roman" w:eastAsia="Times New Roman" w:hAnsi="Times New Roman"/>
          <w:bCs/>
          <w:sz w:val="27"/>
          <w:szCs w:val="27"/>
          <w:bdr w:val="none" w:sz="0" w:space="0" w:color="auto" w:frame="1"/>
          <w:lang w:val="uk-UA" w:eastAsia="uk-UA"/>
        </w:rPr>
        <w:t xml:space="preserve"> – через 1 рік після базового відстеження, але не пізніше ніж через 2 роки з дня набрання чинності регуляторним актом.</w:t>
      </w:r>
    </w:p>
    <w:p w14:paraId="2B117137" w14:textId="573984B0" w:rsidR="00447991" w:rsidRDefault="00FC54EF">
      <w:pPr>
        <w:pStyle w:val="a8"/>
        <w:ind w:firstLine="567"/>
        <w:jc w:val="both"/>
        <w:rPr>
          <w:rFonts w:ascii="Times New Roman" w:eastAsia="Times New Roman" w:hAnsi="Times New Roman"/>
          <w:sz w:val="27"/>
          <w:szCs w:val="27"/>
          <w:lang w:val="uk-UA" w:eastAsia="ru-RU"/>
        </w:rPr>
      </w:pPr>
      <w:r>
        <w:rPr>
          <w:rFonts w:ascii="Times New Roman" w:eastAsia="Times New Roman" w:hAnsi="Times New Roman"/>
          <w:sz w:val="27"/>
          <w:szCs w:val="27"/>
          <w:lang w:val="uk-UA" w:eastAsia="ru-RU"/>
        </w:rPr>
        <w:lastRenderedPageBreak/>
        <w:t xml:space="preserve">Періодичні відстеження результативності будуть здійснюватися раз на кожні 3 роки, починаючи з дня закінчення заходів з повторного відстеження результативності цього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постанови</w:t>
      </w:r>
      <w:r>
        <w:rPr>
          <w:rFonts w:ascii="Times New Roman" w:eastAsia="Times New Roman" w:hAnsi="Times New Roman"/>
          <w:sz w:val="27"/>
          <w:szCs w:val="27"/>
          <w:lang w:val="uk-UA" w:eastAsia="ru-RU"/>
        </w:rPr>
        <w:t>.</w:t>
      </w:r>
    </w:p>
    <w:p w14:paraId="5731215F" w14:textId="630EBF32" w:rsidR="00447991" w:rsidRDefault="00FC54EF">
      <w:pPr>
        <w:pStyle w:val="a8"/>
        <w:ind w:firstLine="567"/>
        <w:jc w:val="both"/>
        <w:rPr>
          <w:rFonts w:ascii="Times New Roman" w:hAnsi="Times New Roman"/>
          <w:sz w:val="27"/>
          <w:szCs w:val="27"/>
          <w:lang w:val="uk-UA"/>
        </w:rPr>
      </w:pPr>
      <w:r>
        <w:rPr>
          <w:rFonts w:ascii="Times New Roman" w:eastAsia="Times New Roman" w:hAnsi="Times New Roman"/>
          <w:sz w:val="27"/>
          <w:szCs w:val="27"/>
          <w:lang w:val="uk-UA" w:eastAsia="ru-RU"/>
        </w:rPr>
        <w:t xml:space="preserve">Відстеження результативності </w:t>
      </w:r>
      <w:proofErr w:type="spellStart"/>
      <w:r>
        <w:rPr>
          <w:rFonts w:ascii="Times New Roman" w:eastAsia="Times New Roman" w:hAnsi="Times New Roman"/>
          <w:sz w:val="27"/>
          <w:szCs w:val="27"/>
          <w:lang w:val="uk-UA" w:eastAsia="ru-RU"/>
        </w:rPr>
        <w:t>акта</w:t>
      </w:r>
      <w:proofErr w:type="spellEnd"/>
      <w:r>
        <w:rPr>
          <w:rFonts w:ascii="Times New Roman" w:eastAsia="Times New Roman" w:hAnsi="Times New Roman"/>
          <w:sz w:val="27"/>
          <w:szCs w:val="27"/>
          <w:lang w:val="uk-UA" w:eastAsia="ru-RU"/>
        </w:rPr>
        <w:t xml:space="preserve"> буде здійснюватися Мін</w:t>
      </w:r>
      <w:r w:rsidR="00200C37">
        <w:rPr>
          <w:rFonts w:ascii="Times New Roman" w:eastAsia="Times New Roman" w:hAnsi="Times New Roman"/>
          <w:sz w:val="27"/>
          <w:szCs w:val="27"/>
          <w:lang w:val="uk-UA" w:eastAsia="ru-RU"/>
        </w:rPr>
        <w:t>енерго</w:t>
      </w:r>
      <w:r>
        <w:rPr>
          <w:rFonts w:ascii="Times New Roman" w:eastAsia="Times New Roman" w:hAnsi="Times New Roman"/>
          <w:sz w:val="27"/>
          <w:szCs w:val="27"/>
          <w:lang w:val="uk-UA" w:eastAsia="ru-RU"/>
        </w:rPr>
        <w:t xml:space="preserve"> статистичним методом – шляхом аналізу динаміки показників, вказаних в розділі </w:t>
      </w:r>
      <w:r>
        <w:rPr>
          <w:rFonts w:ascii="Times New Roman" w:eastAsia="Times New Roman" w:hAnsi="Times New Roman"/>
          <w:sz w:val="27"/>
          <w:szCs w:val="27"/>
          <w:lang w:val="en-US" w:eastAsia="ru-RU"/>
        </w:rPr>
        <w:t>VIII</w:t>
      </w:r>
      <w:r>
        <w:rPr>
          <w:rFonts w:ascii="Times New Roman" w:eastAsia="Times New Roman" w:hAnsi="Times New Roman"/>
          <w:sz w:val="27"/>
          <w:szCs w:val="27"/>
          <w:lang w:val="uk-UA" w:eastAsia="ru-RU"/>
        </w:rPr>
        <w:t xml:space="preserve"> аналізу регуляторного впливу.</w:t>
      </w:r>
    </w:p>
    <w:p w14:paraId="12DA23EA" w14:textId="77777777" w:rsidR="00447991" w:rsidRDefault="00447991">
      <w:pPr>
        <w:shd w:val="clear" w:color="auto" w:fill="FFFFFF"/>
        <w:textAlignment w:val="baseline"/>
        <w:rPr>
          <w:sz w:val="27"/>
          <w:szCs w:val="27"/>
          <w:lang w:val="uk-UA"/>
        </w:rPr>
      </w:pPr>
    </w:p>
    <w:p w14:paraId="55A078C9" w14:textId="77777777" w:rsidR="00447991" w:rsidRDefault="00447991">
      <w:pPr>
        <w:shd w:val="clear" w:color="auto" w:fill="FFFFFF"/>
        <w:textAlignment w:val="baseline"/>
        <w:rPr>
          <w:sz w:val="27"/>
          <w:szCs w:val="27"/>
          <w:lang w:val="uk-UA"/>
        </w:rPr>
      </w:pPr>
    </w:p>
    <w:p w14:paraId="6B2B8F6E" w14:textId="6AD69DE1" w:rsidR="00613F4C" w:rsidRDefault="005F4BF8">
      <w:pPr>
        <w:jc w:val="both"/>
        <w:rPr>
          <w:b/>
          <w:sz w:val="27"/>
          <w:szCs w:val="27"/>
          <w:lang w:val="uk-UA"/>
        </w:rPr>
      </w:pPr>
      <w:r>
        <w:rPr>
          <w:b/>
          <w:sz w:val="27"/>
          <w:szCs w:val="27"/>
          <w:lang w:val="uk-UA"/>
        </w:rPr>
        <w:t>Міністр енергетики України</w:t>
      </w:r>
      <w:r w:rsidRPr="005F4BF8">
        <w:rPr>
          <w:b/>
          <w:sz w:val="27"/>
          <w:szCs w:val="27"/>
          <w:lang w:val="uk-UA"/>
        </w:rPr>
        <w:t xml:space="preserve">                  </w:t>
      </w:r>
      <w:r>
        <w:rPr>
          <w:b/>
          <w:sz w:val="27"/>
          <w:szCs w:val="27"/>
          <w:lang w:val="uk-UA"/>
        </w:rPr>
        <w:t xml:space="preserve">                               </w:t>
      </w:r>
      <w:r w:rsidRPr="005F4BF8">
        <w:rPr>
          <w:b/>
          <w:sz w:val="27"/>
          <w:szCs w:val="27"/>
          <w:lang w:val="uk-UA"/>
        </w:rPr>
        <w:t>Герман ГАЛУЩЕНКО</w:t>
      </w:r>
    </w:p>
    <w:p w14:paraId="45D72C98" w14:textId="77777777" w:rsidR="005F4BF8" w:rsidRDefault="005F4BF8">
      <w:pPr>
        <w:jc w:val="both"/>
        <w:rPr>
          <w:b/>
          <w:sz w:val="27"/>
          <w:szCs w:val="27"/>
          <w:lang w:val="uk-UA"/>
        </w:rPr>
      </w:pPr>
    </w:p>
    <w:p w14:paraId="03413DBA" w14:textId="77777777" w:rsidR="00447991" w:rsidRDefault="00FC54EF">
      <w:pPr>
        <w:jc w:val="both"/>
        <w:rPr>
          <w:sz w:val="27"/>
          <w:szCs w:val="27"/>
          <w:lang w:val="uk-UA"/>
        </w:rPr>
      </w:pPr>
      <w:r>
        <w:rPr>
          <w:sz w:val="27"/>
          <w:szCs w:val="27"/>
        </w:rPr>
        <w:t>«____» ______________ 20</w:t>
      </w:r>
      <w:r>
        <w:rPr>
          <w:sz w:val="27"/>
          <w:szCs w:val="27"/>
          <w:lang w:val="uk-UA"/>
        </w:rPr>
        <w:t>24</w:t>
      </w:r>
      <w:r>
        <w:rPr>
          <w:sz w:val="27"/>
          <w:szCs w:val="27"/>
        </w:rPr>
        <w:t xml:space="preserve"> р.</w:t>
      </w:r>
    </w:p>
    <w:p w14:paraId="62669DCF" w14:textId="77777777" w:rsidR="00E70934" w:rsidRDefault="00E70934">
      <w:pPr>
        <w:jc w:val="both"/>
        <w:rPr>
          <w:sz w:val="27"/>
          <w:szCs w:val="27"/>
          <w:lang w:val="uk-UA"/>
        </w:rPr>
      </w:pPr>
    </w:p>
    <w:p w14:paraId="28ABCA1A" w14:textId="77777777" w:rsidR="00E70934" w:rsidRDefault="00E70934">
      <w:pPr>
        <w:jc w:val="both"/>
        <w:rPr>
          <w:sz w:val="27"/>
          <w:szCs w:val="27"/>
          <w:lang w:val="uk-UA"/>
        </w:rPr>
      </w:pPr>
    </w:p>
    <w:p w14:paraId="7E12C6EB" w14:textId="38BC3C28" w:rsidR="00E70934" w:rsidRPr="00E70934" w:rsidRDefault="00E70934">
      <w:pPr>
        <w:jc w:val="both"/>
        <w:rPr>
          <w:sz w:val="27"/>
          <w:szCs w:val="27"/>
          <w:lang w:val="uk-UA"/>
        </w:rPr>
      </w:pPr>
      <w:bookmarkStart w:id="6" w:name="_GoBack"/>
      <w:bookmarkEnd w:id="6"/>
    </w:p>
    <w:sectPr w:rsidR="00E70934" w:rsidRPr="00E70934">
      <w:headerReference w:type="default" r:id="rId11"/>
      <w:footerReference w:type="even" r:id="rId12"/>
      <w:footerReference w:type="default" r:id="rId13"/>
      <w:headerReference w:type="first" r:id="rId14"/>
      <w:footerReference w:type="first" r:id="rId15"/>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C29A" w14:textId="77777777" w:rsidR="005D0E9F" w:rsidRDefault="005D0E9F">
      <w:r>
        <w:separator/>
      </w:r>
    </w:p>
  </w:endnote>
  <w:endnote w:type="continuationSeparator" w:id="0">
    <w:p w14:paraId="4E968436" w14:textId="77777777" w:rsidR="005D0E9F" w:rsidRDefault="005D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3464" w14:textId="77777777" w:rsidR="00447991" w:rsidRDefault="00FC54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A8A617" w14:textId="77777777" w:rsidR="00447991" w:rsidRDefault="004479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9CF1" w14:textId="77777777" w:rsidR="00447991" w:rsidRDefault="00447991">
    <w:pPr>
      <w:pStyle w:val="a3"/>
      <w:framePr w:wrap="around" w:vAnchor="text" w:hAnchor="margin" w:xAlign="center" w:y="1"/>
      <w:rPr>
        <w:rStyle w:val="a5"/>
      </w:rPr>
    </w:pPr>
  </w:p>
  <w:p w14:paraId="3677971A" w14:textId="77777777" w:rsidR="00447991" w:rsidRDefault="0044799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CBED" w14:textId="77777777" w:rsidR="00447991" w:rsidRDefault="00FC54EF">
    <w:pPr>
      <w:pStyle w:val="a3"/>
      <w:rPr>
        <w:color w:val="FFFFFF" w:themeColor="background1"/>
      </w:rPr>
    </w:pPr>
    <w:r>
      <w:rPr>
        <w:color w:val="FFFFFF" w:themeColor="background1"/>
        <w:lang w:val="uk-UA"/>
      </w:rPr>
      <w:t>Б</w:t>
    </w:r>
  </w:p>
  <w:p w14:paraId="6BEC23D4" w14:textId="77777777" w:rsidR="00447991" w:rsidRDefault="004479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F4095" w14:textId="77777777" w:rsidR="005D0E9F" w:rsidRDefault="005D0E9F">
      <w:r>
        <w:separator/>
      </w:r>
    </w:p>
  </w:footnote>
  <w:footnote w:type="continuationSeparator" w:id="0">
    <w:p w14:paraId="156892A5" w14:textId="77777777" w:rsidR="005D0E9F" w:rsidRDefault="005D0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9B02" w14:textId="77777777" w:rsidR="00447991" w:rsidRDefault="00FC54EF">
    <w:pPr>
      <w:pStyle w:val="a6"/>
      <w:jc w:val="center"/>
    </w:pPr>
    <w:r>
      <w:fldChar w:fldCharType="begin"/>
    </w:r>
    <w:r>
      <w:instrText xml:space="preserve"> PAGE   \* MERGEFORMAT </w:instrText>
    </w:r>
    <w:r>
      <w:fldChar w:fldCharType="separate"/>
    </w:r>
    <w:r w:rsidR="00853BD5">
      <w:rPr>
        <w:noProof/>
      </w:rPr>
      <w:t>8</w:t>
    </w:r>
    <w:r>
      <w:rPr>
        <w:noProof/>
      </w:rPr>
      <w:fldChar w:fldCharType="end"/>
    </w:r>
  </w:p>
  <w:p w14:paraId="3EE06C33" w14:textId="77777777" w:rsidR="00447991" w:rsidRDefault="004479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D453" w14:textId="77777777" w:rsidR="00447991" w:rsidRDefault="00FC54EF">
    <w:pPr>
      <w:pStyle w:val="a6"/>
    </w:pPr>
    <w:r>
      <w:rPr>
        <w:lang w:val="uk-UA"/>
      </w:rPr>
      <w:t xml:space="preserve"> </w:t>
    </w:r>
  </w:p>
  <w:p w14:paraId="1CB22B4D" w14:textId="77777777" w:rsidR="00447991" w:rsidRDefault="004479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3EAB"/>
    <w:multiLevelType w:val="hybridMultilevel"/>
    <w:tmpl w:val="09A0BBE0"/>
    <w:lvl w:ilvl="0" w:tplc="68EECDB4">
      <w:start w:val="1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F177FCB"/>
    <w:multiLevelType w:val="hybridMultilevel"/>
    <w:tmpl w:val="737CF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64728"/>
    <w:multiLevelType w:val="hybridMultilevel"/>
    <w:tmpl w:val="998629CE"/>
    <w:lvl w:ilvl="0" w:tplc="479E0978">
      <w:numFmt w:val="bullet"/>
      <w:lvlText w:val="-"/>
      <w:lvlJc w:val="left"/>
      <w:pPr>
        <w:ind w:left="471" w:hanging="360"/>
      </w:pPr>
      <w:rPr>
        <w:rFonts w:ascii="Times New Roman" w:eastAsia="Times New Roman" w:hAnsi="Times New Roman" w:cs="Times New Roman" w:hint="default"/>
      </w:rPr>
    </w:lvl>
    <w:lvl w:ilvl="1" w:tplc="04220003" w:tentative="1">
      <w:start w:val="1"/>
      <w:numFmt w:val="bullet"/>
      <w:lvlText w:val="o"/>
      <w:lvlJc w:val="left"/>
      <w:pPr>
        <w:ind w:left="1191" w:hanging="360"/>
      </w:pPr>
      <w:rPr>
        <w:rFonts w:ascii="Courier New" w:hAnsi="Courier New" w:cs="Courier New" w:hint="default"/>
      </w:rPr>
    </w:lvl>
    <w:lvl w:ilvl="2" w:tplc="04220005" w:tentative="1">
      <w:start w:val="1"/>
      <w:numFmt w:val="bullet"/>
      <w:lvlText w:val=""/>
      <w:lvlJc w:val="left"/>
      <w:pPr>
        <w:ind w:left="1911" w:hanging="360"/>
      </w:pPr>
      <w:rPr>
        <w:rFonts w:ascii="Wingdings" w:hAnsi="Wingdings" w:hint="default"/>
      </w:rPr>
    </w:lvl>
    <w:lvl w:ilvl="3" w:tplc="04220001" w:tentative="1">
      <w:start w:val="1"/>
      <w:numFmt w:val="bullet"/>
      <w:lvlText w:val=""/>
      <w:lvlJc w:val="left"/>
      <w:pPr>
        <w:ind w:left="2631" w:hanging="360"/>
      </w:pPr>
      <w:rPr>
        <w:rFonts w:ascii="Symbol" w:hAnsi="Symbol" w:hint="default"/>
      </w:rPr>
    </w:lvl>
    <w:lvl w:ilvl="4" w:tplc="04220003" w:tentative="1">
      <w:start w:val="1"/>
      <w:numFmt w:val="bullet"/>
      <w:lvlText w:val="o"/>
      <w:lvlJc w:val="left"/>
      <w:pPr>
        <w:ind w:left="3351" w:hanging="360"/>
      </w:pPr>
      <w:rPr>
        <w:rFonts w:ascii="Courier New" w:hAnsi="Courier New" w:cs="Courier New" w:hint="default"/>
      </w:rPr>
    </w:lvl>
    <w:lvl w:ilvl="5" w:tplc="04220005" w:tentative="1">
      <w:start w:val="1"/>
      <w:numFmt w:val="bullet"/>
      <w:lvlText w:val=""/>
      <w:lvlJc w:val="left"/>
      <w:pPr>
        <w:ind w:left="4071" w:hanging="360"/>
      </w:pPr>
      <w:rPr>
        <w:rFonts w:ascii="Wingdings" w:hAnsi="Wingdings" w:hint="default"/>
      </w:rPr>
    </w:lvl>
    <w:lvl w:ilvl="6" w:tplc="04220001" w:tentative="1">
      <w:start w:val="1"/>
      <w:numFmt w:val="bullet"/>
      <w:lvlText w:val=""/>
      <w:lvlJc w:val="left"/>
      <w:pPr>
        <w:ind w:left="4791" w:hanging="360"/>
      </w:pPr>
      <w:rPr>
        <w:rFonts w:ascii="Symbol" w:hAnsi="Symbol" w:hint="default"/>
      </w:rPr>
    </w:lvl>
    <w:lvl w:ilvl="7" w:tplc="04220003" w:tentative="1">
      <w:start w:val="1"/>
      <w:numFmt w:val="bullet"/>
      <w:lvlText w:val="o"/>
      <w:lvlJc w:val="left"/>
      <w:pPr>
        <w:ind w:left="5511" w:hanging="360"/>
      </w:pPr>
      <w:rPr>
        <w:rFonts w:ascii="Courier New" w:hAnsi="Courier New" w:cs="Courier New" w:hint="default"/>
      </w:rPr>
    </w:lvl>
    <w:lvl w:ilvl="8" w:tplc="04220005" w:tentative="1">
      <w:start w:val="1"/>
      <w:numFmt w:val="bullet"/>
      <w:lvlText w:val=""/>
      <w:lvlJc w:val="left"/>
      <w:pPr>
        <w:ind w:left="6231" w:hanging="360"/>
      </w:pPr>
      <w:rPr>
        <w:rFonts w:ascii="Wingdings" w:hAnsi="Wingdings" w:hint="default"/>
      </w:rPr>
    </w:lvl>
  </w:abstractNum>
  <w:abstractNum w:abstractNumId="3" w15:restartNumberingAfterBreak="0">
    <w:nsid w:val="1FD431EF"/>
    <w:multiLevelType w:val="hybridMultilevel"/>
    <w:tmpl w:val="3686FC06"/>
    <w:lvl w:ilvl="0" w:tplc="3604A8AA">
      <w:start w:val="1"/>
      <w:numFmt w:val="upperRoman"/>
      <w:suff w:val="space"/>
      <w:lvlText w:val="%1."/>
      <w:lvlJc w:val="right"/>
      <w:pPr>
        <w:ind w:left="5400" w:hanging="1005"/>
      </w:pPr>
      <w:rPr>
        <w:rFonts w:hint="default"/>
      </w:rPr>
    </w:lvl>
    <w:lvl w:ilvl="1" w:tplc="35A2F8B8">
      <w:start w:val="1"/>
      <w:numFmt w:val="decimal"/>
      <w:suff w:val="space"/>
      <w:lvlText w:val="%2."/>
      <w:lvlJc w:val="left"/>
      <w:pPr>
        <w:ind w:left="1789" w:hanging="360"/>
      </w:pPr>
      <w:rPr>
        <w:rFonts w:hint="default"/>
      </w:rPr>
    </w:lvl>
    <w:lvl w:ilvl="2" w:tplc="EBC22B18">
      <w:start w:val="1"/>
      <w:numFmt w:val="decimal"/>
      <w:lvlText w:val="%3)"/>
      <w:lvlJc w:val="left"/>
      <w:pPr>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26C1724D"/>
    <w:multiLevelType w:val="hybridMultilevel"/>
    <w:tmpl w:val="3686FC06"/>
    <w:lvl w:ilvl="0" w:tplc="3604A8AA">
      <w:start w:val="1"/>
      <w:numFmt w:val="upperRoman"/>
      <w:suff w:val="space"/>
      <w:lvlText w:val="%1."/>
      <w:lvlJc w:val="right"/>
      <w:pPr>
        <w:ind w:left="5400" w:hanging="1005"/>
      </w:pPr>
      <w:rPr>
        <w:rFonts w:hint="default"/>
      </w:rPr>
    </w:lvl>
    <w:lvl w:ilvl="1" w:tplc="35A2F8B8">
      <w:start w:val="1"/>
      <w:numFmt w:val="decimal"/>
      <w:suff w:val="space"/>
      <w:lvlText w:val="%2."/>
      <w:lvlJc w:val="left"/>
      <w:pPr>
        <w:ind w:left="1789" w:hanging="360"/>
      </w:pPr>
      <w:rPr>
        <w:rFonts w:hint="default"/>
      </w:rPr>
    </w:lvl>
    <w:lvl w:ilvl="2" w:tplc="EBC22B18">
      <w:start w:val="1"/>
      <w:numFmt w:val="decimal"/>
      <w:lvlText w:val="%3)"/>
      <w:lvlJc w:val="left"/>
      <w:pPr>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32C27800"/>
    <w:multiLevelType w:val="hybridMultilevel"/>
    <w:tmpl w:val="33ACABC4"/>
    <w:lvl w:ilvl="0" w:tplc="10862420">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15:restartNumberingAfterBreak="0">
    <w:nsid w:val="3C082F53"/>
    <w:multiLevelType w:val="hybridMultilevel"/>
    <w:tmpl w:val="8BA80E4C"/>
    <w:lvl w:ilvl="0" w:tplc="D32E2346">
      <w:start w:val="2"/>
      <w:numFmt w:val="upperRoman"/>
      <w:lvlText w:val="%1."/>
      <w:lvlJc w:val="left"/>
      <w:pPr>
        <w:ind w:left="1080" w:hanging="720"/>
      </w:pPr>
      <w:rPr>
        <w:rFonts w:hint="default"/>
      </w:rPr>
    </w:lvl>
    <w:lvl w:ilvl="1" w:tplc="D146F18E">
      <w:start w:val="1"/>
      <w:numFmt w:val="decimal"/>
      <w:lvlText w:val="%2."/>
      <w:lvlJc w:val="left"/>
      <w:pPr>
        <w:ind w:left="1440" w:hanging="360"/>
      </w:pPr>
      <w:rPr>
        <w:rFonts w:ascii="Times New Roman" w:eastAsia="Calibri" w:hAnsi="Times New Roman" w:cs="Times New Roman"/>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3C9390C"/>
    <w:multiLevelType w:val="hybridMultilevel"/>
    <w:tmpl w:val="0A5E1F1A"/>
    <w:lvl w:ilvl="0" w:tplc="3A90102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4B250A45"/>
    <w:multiLevelType w:val="hybridMultilevel"/>
    <w:tmpl w:val="A6440306"/>
    <w:lvl w:ilvl="0" w:tplc="5AB89FB0">
      <w:start w:val="5"/>
      <w:numFmt w:val="upperRoman"/>
      <w:lvlText w:val="%1."/>
      <w:lvlJc w:val="left"/>
      <w:pPr>
        <w:ind w:left="2138" w:hanging="72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9" w15:restartNumberingAfterBreak="0">
    <w:nsid w:val="4F5B2BC1"/>
    <w:multiLevelType w:val="hybridMultilevel"/>
    <w:tmpl w:val="590C9F70"/>
    <w:lvl w:ilvl="0" w:tplc="23E6B83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3D032AE"/>
    <w:multiLevelType w:val="hybridMultilevel"/>
    <w:tmpl w:val="15CCAB98"/>
    <w:lvl w:ilvl="0" w:tplc="3722924C">
      <w:start w:val="1"/>
      <w:numFmt w:val="bullet"/>
      <w:lvlText w:val="-"/>
      <w:lvlJc w:val="left"/>
      <w:pPr>
        <w:ind w:left="1482"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7CDE2840"/>
    <w:multiLevelType w:val="hybridMultilevel"/>
    <w:tmpl w:val="95D8128A"/>
    <w:lvl w:ilvl="0" w:tplc="535418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DCE2BEB"/>
    <w:multiLevelType w:val="hybridMultilevel"/>
    <w:tmpl w:val="ED882B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6"/>
  </w:num>
  <w:num w:numId="5">
    <w:abstractNumId w:val="10"/>
  </w:num>
  <w:num w:numId="6">
    <w:abstractNumId w:val="5"/>
  </w:num>
  <w:num w:numId="7">
    <w:abstractNumId w:val="2"/>
  </w:num>
  <w:num w:numId="8">
    <w:abstractNumId w:val="4"/>
  </w:num>
  <w:num w:numId="9">
    <w:abstractNumId w:val="8"/>
  </w:num>
  <w:num w:numId="10">
    <w:abstractNumId w:val="7"/>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91"/>
    <w:rsid w:val="00001B1C"/>
    <w:rsid w:val="000B1C71"/>
    <w:rsid w:val="00167540"/>
    <w:rsid w:val="00200C37"/>
    <w:rsid w:val="00220A15"/>
    <w:rsid w:val="00232C9D"/>
    <w:rsid w:val="0031434F"/>
    <w:rsid w:val="003A6167"/>
    <w:rsid w:val="003C17F6"/>
    <w:rsid w:val="003F6FE4"/>
    <w:rsid w:val="00447991"/>
    <w:rsid w:val="004557B3"/>
    <w:rsid w:val="004E0452"/>
    <w:rsid w:val="005D0E9F"/>
    <w:rsid w:val="005E13CC"/>
    <w:rsid w:val="005F4BF8"/>
    <w:rsid w:val="00613F4C"/>
    <w:rsid w:val="00650D5E"/>
    <w:rsid w:val="006618B9"/>
    <w:rsid w:val="007F2180"/>
    <w:rsid w:val="00853BD5"/>
    <w:rsid w:val="00915299"/>
    <w:rsid w:val="00921BE4"/>
    <w:rsid w:val="00986378"/>
    <w:rsid w:val="009D42ED"/>
    <w:rsid w:val="00BD153C"/>
    <w:rsid w:val="00C322D2"/>
    <w:rsid w:val="00C40479"/>
    <w:rsid w:val="00C537AA"/>
    <w:rsid w:val="00D779C0"/>
    <w:rsid w:val="00E70934"/>
    <w:rsid w:val="00EB1BC9"/>
    <w:rsid w:val="00FC5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6B85E"/>
  <w15:docId w15:val="{5BC87AC5-C830-4677-8071-ADEB9556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Batang" w:hAnsi="Arial" w:cs="Arial"/>
      <w:sz w:val="30"/>
      <w:szCs w:val="3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rPr>
      <w:rFonts w:ascii="Times New Roman" w:eastAsia="Times New Roman" w:hAnsi="Times New Roman" w:cs="Times New Roman"/>
      <w:sz w:val="24"/>
      <w:szCs w:val="24"/>
      <w:lang w:val="ru-RU" w:eastAsia="ru-RU"/>
    </w:rPr>
  </w:style>
  <w:style w:type="character" w:styleId="a5">
    <w:name w:val="page number"/>
    <w:basedOn w:val="a0"/>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val="ru-RU" w:eastAsia="ru-RU"/>
    </w:rPr>
  </w:style>
  <w:style w:type="paragraph" w:styleId="a8">
    <w:name w:val="No Spacing"/>
    <w:uiPriority w:val="99"/>
    <w:qFormat/>
    <w:pPr>
      <w:spacing w:after="0" w:line="240" w:lineRule="auto"/>
    </w:pPr>
    <w:rPr>
      <w:rFonts w:ascii="Calibri" w:eastAsia="Calibri" w:hAnsi="Calibri" w:cs="Times New Roman"/>
      <w:lang w:val="ru-RU"/>
    </w:rPr>
  </w:style>
  <w:style w:type="paragraph" w:styleId="21">
    <w:name w:val="Body Text Indent 2"/>
    <w:basedOn w:val="a"/>
    <w:link w:val="22"/>
    <w:pPr>
      <w:spacing w:after="120" w:line="480" w:lineRule="auto"/>
      <w:ind w:left="283" w:firstLine="374"/>
      <w:jc w:val="both"/>
    </w:pPr>
    <w:rPr>
      <w:rFonts w:eastAsia="Calibri"/>
      <w:szCs w:val="22"/>
      <w:lang w:val="uk-UA" w:eastAsia="en-US"/>
    </w:rPr>
  </w:style>
  <w:style w:type="character" w:customStyle="1" w:styleId="22">
    <w:name w:val="Основной текст с отступом 2 Знак"/>
    <w:basedOn w:val="a0"/>
    <w:link w:val="21"/>
    <w:rPr>
      <w:rFonts w:ascii="Times New Roman" w:eastAsia="Calibri" w:hAnsi="Times New Roman" w:cs="Times New Roman"/>
      <w:sz w:val="24"/>
    </w:rPr>
  </w:style>
  <w:style w:type="paragraph" w:customStyle="1" w:styleId="11">
    <w:name w:val="Без интервала1"/>
    <w:pPr>
      <w:spacing w:after="0" w:line="240" w:lineRule="auto"/>
    </w:pPr>
    <w:rPr>
      <w:rFonts w:ascii="Calibri" w:eastAsia="Times New Roman" w:hAnsi="Calibri" w:cs="Times New Roman"/>
    </w:rPr>
  </w:style>
  <w:style w:type="paragraph" w:customStyle="1" w:styleId="rvps12">
    <w:name w:val="rvps12"/>
    <w:basedOn w:val="a"/>
    <w:pPr>
      <w:spacing w:before="100" w:beforeAutospacing="1" w:after="100" w:afterAutospacing="1"/>
    </w:pPr>
  </w:style>
  <w:style w:type="paragraph" w:styleId="a9">
    <w:name w:val="Plain Text"/>
    <w:basedOn w:val="a"/>
    <w:link w:val="aa"/>
    <w:pPr>
      <w:ind w:firstLine="284"/>
      <w:jc w:val="both"/>
    </w:pPr>
    <w:rPr>
      <w:rFonts w:ascii="Courier New" w:hAnsi="Courier New" w:cs="Courier New"/>
      <w:sz w:val="20"/>
      <w:szCs w:val="20"/>
    </w:rPr>
  </w:style>
  <w:style w:type="character" w:customStyle="1" w:styleId="aa">
    <w:name w:val="Текст Знак"/>
    <w:basedOn w:val="a0"/>
    <w:link w:val="a9"/>
    <w:rPr>
      <w:rFonts w:ascii="Courier New" w:eastAsia="Times New Roman" w:hAnsi="Courier New" w:cs="Courier New"/>
      <w:sz w:val="20"/>
      <w:szCs w:val="20"/>
      <w:lang w:val="ru-RU" w:eastAsia="ru-RU"/>
    </w:rPr>
  </w:style>
  <w:style w:type="paragraph" w:customStyle="1" w:styleId="rvps2">
    <w:name w:val="rvps2"/>
    <w:basedOn w:val="a"/>
    <w:pPr>
      <w:spacing w:before="100" w:beforeAutospacing="1" w:after="100" w:afterAutospacing="1"/>
    </w:pPr>
    <w:rPr>
      <w:lang w:bidi="he-I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val="ru-RU" w:eastAsia="ru-RU"/>
    </w:rPr>
  </w:style>
  <w:style w:type="paragraph" w:styleId="ab">
    <w:name w:val="List Paragraph"/>
    <w:basedOn w:val="a"/>
    <w:uiPriority w:val="34"/>
    <w:qFormat/>
    <w:pPr>
      <w:spacing w:after="200" w:line="276" w:lineRule="auto"/>
      <w:ind w:left="720"/>
      <w:contextualSpacing/>
    </w:pPr>
    <w:rPr>
      <w:rFonts w:ascii="Calibri" w:eastAsia="Calibri" w:hAnsi="Calibri" w:cs="Arial"/>
      <w:sz w:val="22"/>
      <w:szCs w:val="22"/>
      <w:lang w:eastAsia="en-US"/>
    </w:rPr>
  </w:style>
  <w:style w:type="paragraph" w:styleId="ac">
    <w:name w:val="Balloon Text"/>
    <w:basedOn w:val="a"/>
    <w:link w:val="ad"/>
    <w:uiPriority w:val="99"/>
    <w:semiHidden/>
    <w:unhideWhenUsed/>
    <w:rPr>
      <w:rFonts w:ascii="Segoe UI" w:hAnsi="Segoe UI" w:cs="Segoe UI"/>
      <w:sz w:val="18"/>
      <w:szCs w:val="18"/>
    </w:rPr>
  </w:style>
  <w:style w:type="character" w:customStyle="1" w:styleId="ad">
    <w:name w:val="Текст выноски Знак"/>
    <w:basedOn w:val="a0"/>
    <w:link w:val="ac"/>
    <w:uiPriority w:val="99"/>
    <w:semiHidden/>
    <w:rPr>
      <w:rFonts w:ascii="Segoe UI" w:eastAsia="Times New Roman" w:hAnsi="Segoe UI" w:cs="Segoe UI"/>
      <w:sz w:val="18"/>
      <w:szCs w:val="18"/>
      <w:lang w:val="ru-RU" w:eastAsia="ru-RU"/>
    </w:rPr>
  </w:style>
  <w:style w:type="character" w:customStyle="1" w:styleId="30">
    <w:name w:val="Заголовок 3 Знак"/>
    <w:basedOn w:val="a0"/>
    <w:link w:val="3"/>
    <w:uiPriority w:val="99"/>
    <w:rPr>
      <w:rFonts w:ascii="Arial" w:eastAsia="Batang" w:hAnsi="Arial" w:cs="Arial"/>
      <w:sz w:val="30"/>
      <w:szCs w:val="30"/>
      <w:lang w:eastAsia="ru-RU"/>
    </w:rPr>
  </w:style>
  <w:style w:type="character" w:styleId="ae">
    <w:name w:val="Hyperlink"/>
    <w:basedOn w:val="a0"/>
    <w:uiPriority w:val="99"/>
    <w:rPr>
      <w:color w:val="0000FF"/>
      <w:u w:val="single"/>
    </w:rPr>
  </w:style>
  <w:style w:type="character" w:customStyle="1" w:styleId="rvts9">
    <w:name w:val="rvts9"/>
    <w:basedOn w:val="a0"/>
  </w:style>
  <w:style w:type="character" w:customStyle="1" w:styleId="10">
    <w:name w:val="Заголовок 1 Знак"/>
    <w:basedOn w:val="a0"/>
    <w:link w:val="1"/>
    <w:uiPriority w:val="99"/>
    <w:rPr>
      <w:rFonts w:asciiTheme="majorHAnsi" w:eastAsiaTheme="majorEastAsia" w:hAnsiTheme="majorHAnsi" w:cstheme="majorBidi"/>
      <w:color w:val="2E74B5" w:themeColor="accent1" w:themeShade="BF"/>
      <w:sz w:val="32"/>
      <w:szCs w:val="32"/>
      <w:lang w:val="ru-RU" w:eastAsia="ru-RU"/>
    </w:rPr>
  </w:style>
  <w:style w:type="paragraph" w:styleId="af">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2"/>
    <w:pPr>
      <w:pBdr>
        <w:top w:val="none" w:sz="4" w:space="0" w:color="000000"/>
        <w:left w:val="none" w:sz="4" w:space="0" w:color="000000"/>
        <w:bottom w:val="none" w:sz="4" w:space="0" w:color="000000"/>
        <w:right w:val="none" w:sz="4" w:space="0" w:color="000000"/>
        <w:between w:val="none" w:sz="4" w:space="0" w:color="000000"/>
      </w:pBdr>
    </w:pPr>
    <w:rPr>
      <w:rFonts w:eastAsia="Batang"/>
      <w:lang w:val="uk-UA"/>
    </w:rPr>
  </w:style>
  <w:style w:type="character" w:customStyle="1" w:styleId="12">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f"/>
    <w:locked/>
    <w:rPr>
      <w:rFonts w:ascii="Times New Roman" w:eastAsia="Batang" w:hAnsi="Times New Roman" w:cs="Times New Roman"/>
      <w:sz w:val="24"/>
      <w:szCs w:val="24"/>
      <w:lang w:eastAsia="ru-RU"/>
    </w:rPr>
  </w:style>
  <w:style w:type="paragraph" w:styleId="23">
    <w:name w:val="Body Text 2"/>
    <w:basedOn w:val="a"/>
    <w:link w:val="24"/>
    <w:uiPriority w:val="99"/>
    <w:pPr>
      <w:pBdr>
        <w:top w:val="none" w:sz="4" w:space="0" w:color="000000"/>
        <w:left w:val="none" w:sz="4" w:space="0" w:color="000000"/>
        <w:bottom w:val="none" w:sz="4" w:space="0" w:color="000000"/>
        <w:right w:val="none" w:sz="4" w:space="0" w:color="000000"/>
        <w:between w:val="none" w:sz="4" w:space="0" w:color="000000"/>
      </w:pBdr>
      <w:spacing w:after="120" w:line="480" w:lineRule="auto"/>
    </w:pPr>
    <w:rPr>
      <w:rFonts w:eastAsia="Batang"/>
      <w:lang w:val="uk-UA"/>
    </w:rPr>
  </w:style>
  <w:style w:type="character" w:customStyle="1" w:styleId="24">
    <w:name w:val="Основной текст 2 Знак"/>
    <w:basedOn w:val="a0"/>
    <w:link w:val="23"/>
    <w:uiPriority w:val="99"/>
    <w:rPr>
      <w:rFonts w:ascii="Times New Roman" w:eastAsia="Batang" w:hAnsi="Times New Roman" w:cs="Times New Roman"/>
      <w:sz w:val="24"/>
      <w:szCs w:val="24"/>
      <w:lang w:eastAsia="ru-RU"/>
    </w:rPr>
  </w:style>
  <w:style w:type="paragraph" w:styleId="af0">
    <w:name w:val="Body Text Indent"/>
    <w:basedOn w:val="a"/>
    <w:link w:val="af1"/>
    <w:uiPriority w:val="99"/>
    <w:unhideWhenUsed/>
    <w:pPr>
      <w:spacing w:after="120"/>
      <w:ind w:left="283"/>
    </w:pPr>
  </w:style>
  <w:style w:type="character" w:customStyle="1" w:styleId="af1">
    <w:name w:val="Основной текст с отступом Знак"/>
    <w:basedOn w:val="a0"/>
    <w:link w:val="af0"/>
    <w:uiPriority w:val="99"/>
    <w:rPr>
      <w:rFonts w:ascii="Times New Roman" w:eastAsia="Times New Roman" w:hAnsi="Times New Roman" w:cs="Times New Roman"/>
      <w:sz w:val="24"/>
      <w:szCs w:val="24"/>
      <w:lang w:val="ru-RU" w:eastAsia="ru-RU"/>
    </w:rPr>
  </w:style>
  <w:style w:type="character" w:customStyle="1" w:styleId="rvts0">
    <w:name w:val="rvts0"/>
    <w:basedOn w:val="a0"/>
  </w:style>
  <w:style w:type="paragraph" w:styleId="af2">
    <w:name w:val="Body Text"/>
    <w:basedOn w:val="a"/>
    <w:link w:val="af3"/>
    <w:uiPriority w:val="99"/>
    <w:semiHidden/>
    <w:unhideWhenUsed/>
    <w:pPr>
      <w:spacing w:after="120"/>
    </w:pPr>
  </w:style>
  <w:style w:type="character" w:customStyle="1" w:styleId="af3">
    <w:name w:val="Основной текст Знак"/>
    <w:basedOn w:val="a0"/>
    <w:link w:val="af2"/>
    <w:uiPriority w:val="99"/>
    <w:semiHidden/>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lang w:val="ru-RU" w:eastAsia="ru-RU"/>
    </w:rPr>
  </w:style>
  <w:style w:type="paragraph" w:styleId="af4">
    <w:name w:val="Revision"/>
    <w:hidden/>
    <w:uiPriority w:val="99"/>
    <w:semiHidden/>
    <w:pPr>
      <w:spacing w:after="0" w:line="240" w:lineRule="auto"/>
    </w:pPr>
    <w:rPr>
      <w:rFonts w:ascii="Times New Roman" w:eastAsia="Times New Roman" w:hAnsi="Times New Roman" w:cs="Times New Roman"/>
      <w:sz w:val="24"/>
      <w:szCs w:val="24"/>
      <w:lang w:val="ru-RU"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unhideWhenUsed/>
    <w:rPr>
      <w:sz w:val="20"/>
      <w:szCs w:val="20"/>
    </w:rPr>
  </w:style>
  <w:style w:type="character" w:customStyle="1" w:styleId="af7">
    <w:name w:val="Текст примечания Знак"/>
    <w:basedOn w:val="a0"/>
    <w:link w:val="af6"/>
    <w:uiPriority w:val="99"/>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basedOn w:val="af7"/>
    <w:link w:val="af8"/>
    <w:uiPriority w:val="99"/>
    <w:semiHidden/>
    <w:rPr>
      <w:rFonts w:ascii="Times New Roman" w:eastAsia="Times New Roman" w:hAnsi="Times New Roman" w:cs="Times New Roman"/>
      <w:b/>
      <w:bCs/>
      <w:sz w:val="20"/>
      <w:szCs w:val="20"/>
      <w:lang w:val="ru-RU" w:eastAsia="ru-RU"/>
    </w:rPr>
  </w:style>
  <w:style w:type="character" w:customStyle="1" w:styleId="13">
    <w:name w:val="Незакрита згадка1"/>
    <w:basedOn w:val="a0"/>
    <w:uiPriority w:val="99"/>
    <w:semiHidden/>
    <w:unhideWhenUsed/>
    <w:rPr>
      <w:color w:val="605E5C"/>
      <w:shd w:val="clear" w:color="auto" w:fill="E1DFDD"/>
    </w:rPr>
  </w:style>
  <w:style w:type="character" w:customStyle="1" w:styleId="25">
    <w:name w:val="Незакрита згадка2"/>
    <w:basedOn w:val="a0"/>
    <w:uiPriority w:val="99"/>
    <w:semiHidden/>
    <w:unhideWhenUsed/>
    <w:rPr>
      <w:color w:val="605E5C"/>
      <w:shd w:val="clear" w:color="auto" w:fill="E1DFDD"/>
    </w:rPr>
  </w:style>
  <w:style w:type="table" w:styleId="afa">
    <w:name w:val="Table Grid"/>
    <w:basedOn w:val="a1"/>
    <w:uiPriority w:val="59"/>
    <w:rsid w:val="00E7093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E70934"/>
    <w:pPr>
      <w:suppressAutoHyphens/>
      <w:spacing w:after="120" w:line="480" w:lineRule="auto"/>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4836">
      <w:bodyDiv w:val="1"/>
      <w:marLeft w:val="0"/>
      <w:marRight w:val="0"/>
      <w:marTop w:val="0"/>
      <w:marBottom w:val="0"/>
      <w:divBdr>
        <w:top w:val="none" w:sz="0" w:space="0" w:color="auto"/>
        <w:left w:val="none" w:sz="0" w:space="0" w:color="auto"/>
        <w:bottom w:val="none" w:sz="0" w:space="0" w:color="auto"/>
        <w:right w:val="none" w:sz="0" w:space="0" w:color="auto"/>
      </w:divBdr>
    </w:div>
    <w:div w:id="797913211">
      <w:bodyDiv w:val="1"/>
      <w:marLeft w:val="0"/>
      <w:marRight w:val="0"/>
      <w:marTop w:val="0"/>
      <w:marBottom w:val="0"/>
      <w:divBdr>
        <w:top w:val="none" w:sz="0" w:space="0" w:color="auto"/>
        <w:left w:val="none" w:sz="0" w:space="0" w:color="auto"/>
        <w:bottom w:val="none" w:sz="0" w:space="0" w:color="auto"/>
        <w:right w:val="none" w:sz="0" w:space="0" w:color="auto"/>
      </w:divBdr>
    </w:div>
    <w:div w:id="1032655148">
      <w:bodyDiv w:val="1"/>
      <w:marLeft w:val="0"/>
      <w:marRight w:val="0"/>
      <w:marTop w:val="0"/>
      <w:marBottom w:val="0"/>
      <w:divBdr>
        <w:top w:val="none" w:sz="0" w:space="0" w:color="auto"/>
        <w:left w:val="none" w:sz="0" w:space="0" w:color="auto"/>
        <w:bottom w:val="none" w:sz="0" w:space="0" w:color="auto"/>
        <w:right w:val="none" w:sz="0" w:space="0" w:color="auto"/>
      </w:divBdr>
    </w:div>
    <w:div w:id="1311203693">
      <w:bodyDiv w:val="1"/>
      <w:marLeft w:val="0"/>
      <w:marRight w:val="0"/>
      <w:marTop w:val="0"/>
      <w:marBottom w:val="0"/>
      <w:divBdr>
        <w:top w:val="none" w:sz="0" w:space="0" w:color="auto"/>
        <w:left w:val="none" w:sz="0" w:space="0" w:color="auto"/>
        <w:bottom w:val="none" w:sz="0" w:space="0" w:color="auto"/>
        <w:right w:val="none" w:sz="0" w:space="0" w:color="auto"/>
      </w:divBdr>
    </w:div>
    <w:div w:id="1649169983">
      <w:bodyDiv w:val="1"/>
      <w:marLeft w:val="0"/>
      <w:marRight w:val="0"/>
      <w:marTop w:val="0"/>
      <w:marBottom w:val="0"/>
      <w:divBdr>
        <w:top w:val="none" w:sz="0" w:space="0" w:color="auto"/>
        <w:left w:val="none" w:sz="0" w:space="0" w:color="auto"/>
        <w:bottom w:val="none" w:sz="0" w:space="0" w:color="auto"/>
        <w:right w:val="none" w:sz="0" w:space="0" w:color="auto"/>
      </w:divBdr>
    </w:div>
    <w:div w:id="1979262497">
      <w:bodyDiv w:val="1"/>
      <w:marLeft w:val="0"/>
      <w:marRight w:val="0"/>
      <w:marTop w:val="0"/>
      <w:marBottom w:val="0"/>
      <w:divBdr>
        <w:top w:val="none" w:sz="0" w:space="0" w:color="auto"/>
        <w:left w:val="none" w:sz="0" w:space="0" w:color="auto"/>
        <w:bottom w:val="none" w:sz="0" w:space="0" w:color="auto"/>
        <w:right w:val="none" w:sz="0" w:space="0" w:color="auto"/>
      </w:divBdr>
    </w:div>
    <w:div w:id="19850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storage/app/sites/1/Docs/Reestry/reestr_subektiv_gospodoryvannia/2024/Reestr-subektiv-gospodaruvannya-yaki-reguluutsya%20NKREKP%2030.06.2024.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ev.gov.ua" TargetMode="External"/><Relationship Id="rId4" Type="http://schemas.openxmlformats.org/officeDocument/2006/relationships/settings" Target="settings.xml"/><Relationship Id="rId9" Type="http://schemas.openxmlformats.org/officeDocument/2006/relationships/hyperlink" Target="https://www.ukrstat.gov.ua/operativ/menu/menu_u/sze_20.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4505-E87C-484A-A716-1D6A9E7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13487</Words>
  <Characters>7688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Власенко</dc:creator>
  <cp:keywords/>
  <dc:description/>
  <cp:lastModifiedBy>Роман Поліщук</cp:lastModifiedBy>
  <cp:revision>27</cp:revision>
  <cp:lastPrinted>2024-02-29T12:36:00Z</cp:lastPrinted>
  <dcterms:created xsi:type="dcterms:W3CDTF">2024-07-16T07:36:00Z</dcterms:created>
  <dcterms:modified xsi:type="dcterms:W3CDTF">2024-09-19T08:34:00Z</dcterms:modified>
</cp:coreProperties>
</file>