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2DF" w:rsidRPr="00095B5E" w:rsidRDefault="000222DF" w:rsidP="000222DF">
      <w:pPr>
        <w:keepNext/>
        <w:jc w:val="center"/>
        <w:outlineLvl w:val="1"/>
        <w:rPr>
          <w:b/>
          <w:spacing w:val="-2"/>
          <w:sz w:val="28"/>
          <w:szCs w:val="28"/>
        </w:rPr>
      </w:pPr>
      <w:proofErr w:type="spellStart"/>
      <w:r w:rsidRPr="00095B5E">
        <w:rPr>
          <w:b/>
          <w:spacing w:val="-2"/>
          <w:sz w:val="28"/>
          <w:szCs w:val="28"/>
        </w:rPr>
        <w:t>Узагальнена</w:t>
      </w:r>
      <w:proofErr w:type="spellEnd"/>
      <w:r w:rsidRPr="00095B5E">
        <w:rPr>
          <w:b/>
          <w:spacing w:val="-2"/>
          <w:sz w:val="28"/>
          <w:szCs w:val="28"/>
        </w:rPr>
        <w:t xml:space="preserve"> </w:t>
      </w:r>
      <w:proofErr w:type="spellStart"/>
      <w:r w:rsidRPr="00095B5E">
        <w:rPr>
          <w:b/>
          <w:spacing w:val="-2"/>
          <w:sz w:val="28"/>
          <w:szCs w:val="28"/>
        </w:rPr>
        <w:t>аналітична</w:t>
      </w:r>
      <w:proofErr w:type="spellEnd"/>
      <w:r w:rsidRPr="00095B5E">
        <w:rPr>
          <w:b/>
          <w:spacing w:val="-2"/>
          <w:sz w:val="28"/>
          <w:szCs w:val="28"/>
        </w:rPr>
        <w:t xml:space="preserve"> </w:t>
      </w:r>
      <w:proofErr w:type="spellStart"/>
      <w:r w:rsidRPr="00095B5E">
        <w:rPr>
          <w:b/>
          <w:spacing w:val="-2"/>
          <w:sz w:val="28"/>
          <w:szCs w:val="28"/>
        </w:rPr>
        <w:t>інформація</w:t>
      </w:r>
      <w:proofErr w:type="spellEnd"/>
      <w:r w:rsidRPr="00095B5E">
        <w:rPr>
          <w:b/>
          <w:spacing w:val="-2"/>
          <w:sz w:val="28"/>
          <w:szCs w:val="28"/>
        </w:rPr>
        <w:t xml:space="preserve"> </w:t>
      </w:r>
    </w:p>
    <w:p w:rsidR="000222DF" w:rsidRPr="00D778FA" w:rsidRDefault="000222DF" w:rsidP="000222DF">
      <w:pPr>
        <w:keepNext/>
        <w:jc w:val="center"/>
        <w:outlineLvl w:val="1"/>
        <w:rPr>
          <w:b/>
          <w:sz w:val="28"/>
          <w:szCs w:val="28"/>
          <w:lang w:val="uk-UA"/>
        </w:rPr>
      </w:pPr>
      <w:r w:rsidRPr="00095B5E">
        <w:rPr>
          <w:b/>
          <w:spacing w:val="-2"/>
          <w:sz w:val="28"/>
          <w:szCs w:val="28"/>
        </w:rPr>
        <w:t xml:space="preserve">про стан </w:t>
      </w:r>
      <w:proofErr w:type="spellStart"/>
      <w:r w:rsidRPr="00095B5E">
        <w:rPr>
          <w:b/>
          <w:spacing w:val="-2"/>
          <w:sz w:val="28"/>
          <w:szCs w:val="28"/>
        </w:rPr>
        <w:t>охорони</w:t>
      </w:r>
      <w:proofErr w:type="spellEnd"/>
      <w:r w:rsidRPr="00095B5E">
        <w:rPr>
          <w:b/>
          <w:spacing w:val="-2"/>
          <w:sz w:val="28"/>
          <w:szCs w:val="28"/>
        </w:rPr>
        <w:t xml:space="preserve"> </w:t>
      </w:r>
      <w:proofErr w:type="spellStart"/>
      <w:proofErr w:type="gramStart"/>
      <w:r w:rsidRPr="00095B5E">
        <w:rPr>
          <w:b/>
          <w:spacing w:val="-2"/>
          <w:sz w:val="28"/>
          <w:szCs w:val="28"/>
        </w:rPr>
        <w:t>праці</w:t>
      </w:r>
      <w:proofErr w:type="spellEnd"/>
      <w:r w:rsidRPr="00095B5E">
        <w:rPr>
          <w:b/>
          <w:spacing w:val="-2"/>
          <w:sz w:val="28"/>
          <w:szCs w:val="28"/>
        </w:rPr>
        <w:t xml:space="preserve">  за</w:t>
      </w:r>
      <w:proofErr w:type="gramEnd"/>
      <w:r w:rsidRPr="00095B5E">
        <w:rPr>
          <w:b/>
          <w:spacing w:val="-2"/>
          <w:sz w:val="28"/>
          <w:szCs w:val="28"/>
        </w:rPr>
        <w:t xml:space="preserve"> 2018 </w:t>
      </w:r>
      <w:proofErr w:type="spellStart"/>
      <w:r w:rsidRPr="00095B5E">
        <w:rPr>
          <w:b/>
          <w:spacing w:val="-2"/>
          <w:sz w:val="28"/>
          <w:szCs w:val="28"/>
        </w:rPr>
        <w:t>рік</w:t>
      </w:r>
      <w:proofErr w:type="spellEnd"/>
      <w:r w:rsidRPr="00095B5E">
        <w:rPr>
          <w:b/>
          <w:spacing w:val="-2"/>
          <w:sz w:val="28"/>
          <w:szCs w:val="28"/>
          <w:lang w:val="uk-UA"/>
        </w:rPr>
        <w:t xml:space="preserve"> </w:t>
      </w:r>
    </w:p>
    <w:p w:rsidR="000222DF" w:rsidRPr="00D778FA" w:rsidRDefault="000222DF" w:rsidP="000222DF">
      <w:pPr>
        <w:pStyle w:val="1"/>
        <w:ind w:firstLine="426"/>
        <w:rPr>
          <w:szCs w:val="28"/>
          <w:lang w:val="uk-UA"/>
        </w:rPr>
      </w:pPr>
      <w:r>
        <w:rPr>
          <w:szCs w:val="28"/>
          <w:lang w:val="uk-UA"/>
        </w:rPr>
        <w:t xml:space="preserve">в </w:t>
      </w:r>
      <w:r w:rsidRPr="00D778FA">
        <w:rPr>
          <w:szCs w:val="28"/>
          <w:lang w:val="uk-UA"/>
        </w:rPr>
        <w:t>ПАТ “УКРГІДРОЕНЕРГО”</w:t>
      </w:r>
    </w:p>
    <w:p w:rsidR="000222DF" w:rsidRPr="00D778FA" w:rsidRDefault="000222DF" w:rsidP="000222DF">
      <w:pPr>
        <w:ind w:firstLine="426"/>
        <w:jc w:val="center"/>
        <w:rPr>
          <w:b/>
          <w:sz w:val="28"/>
          <w:szCs w:val="28"/>
          <w:lang w:val="uk-UA"/>
        </w:rPr>
      </w:pPr>
      <w:r w:rsidRPr="00D778FA">
        <w:rPr>
          <w:b/>
          <w:sz w:val="28"/>
          <w:szCs w:val="28"/>
          <w:lang w:val="uk-UA"/>
        </w:rPr>
        <w:t>за 2018 рік</w:t>
      </w:r>
    </w:p>
    <w:p w:rsidR="000222DF" w:rsidRPr="00D778FA" w:rsidRDefault="000222DF" w:rsidP="000222DF">
      <w:pPr>
        <w:ind w:firstLine="426"/>
        <w:jc w:val="both"/>
        <w:rPr>
          <w:sz w:val="28"/>
          <w:szCs w:val="28"/>
          <w:lang w:val="uk-UA"/>
        </w:rPr>
      </w:pPr>
    </w:p>
    <w:p w:rsidR="000222DF" w:rsidRPr="00D778FA" w:rsidRDefault="000222DF" w:rsidP="000222DF">
      <w:pPr>
        <w:tabs>
          <w:tab w:val="left" w:pos="284"/>
        </w:tabs>
        <w:spacing w:before="120"/>
        <w:ind w:firstLine="1134"/>
        <w:jc w:val="both"/>
        <w:rPr>
          <w:sz w:val="28"/>
          <w:szCs w:val="28"/>
          <w:lang w:val="uk-UA"/>
        </w:rPr>
      </w:pPr>
      <w:r w:rsidRPr="00D778FA">
        <w:rPr>
          <w:spacing w:val="-1"/>
          <w:sz w:val="28"/>
          <w:szCs w:val="28"/>
          <w:lang w:val="uk-UA"/>
        </w:rPr>
        <w:t xml:space="preserve">У Товаристві та на філіях </w:t>
      </w:r>
      <w:r w:rsidRPr="00D778FA">
        <w:rPr>
          <w:sz w:val="28"/>
          <w:szCs w:val="28"/>
          <w:lang w:val="uk-UA"/>
        </w:rPr>
        <w:t xml:space="preserve">функціонує система управління охороною праці, в якій чітко визначена конкретна роль і персональна відповідальність керівників усіх рівнів виробництва. </w:t>
      </w:r>
    </w:p>
    <w:p w:rsidR="000222DF" w:rsidRPr="00D778FA" w:rsidRDefault="000222DF" w:rsidP="000222DF">
      <w:pPr>
        <w:tabs>
          <w:tab w:val="left" w:pos="284"/>
        </w:tabs>
        <w:spacing w:before="120"/>
        <w:ind w:firstLine="1134"/>
        <w:jc w:val="both"/>
        <w:rPr>
          <w:sz w:val="28"/>
          <w:szCs w:val="28"/>
          <w:lang w:val="uk-UA"/>
        </w:rPr>
      </w:pPr>
      <w:r w:rsidRPr="00D778FA">
        <w:rPr>
          <w:sz w:val="28"/>
          <w:szCs w:val="28"/>
          <w:lang w:val="uk-UA"/>
        </w:rPr>
        <w:t xml:space="preserve">З метою ознайомлення з міжнародними практиками з питань охорони праці та   впровадження в подальшому міжнародних стандартів на підприємстві керівники служб охорони праці Товариства та філій прийняли участь в </w:t>
      </w:r>
      <w:r w:rsidRPr="00D778FA">
        <w:rPr>
          <w:sz w:val="28"/>
          <w:szCs w:val="28"/>
          <w:lang w:val="en-US"/>
        </w:rPr>
        <w:t>IY</w:t>
      </w:r>
      <w:r w:rsidRPr="00D778FA">
        <w:rPr>
          <w:sz w:val="28"/>
          <w:szCs w:val="28"/>
        </w:rPr>
        <w:t xml:space="preserve"> </w:t>
      </w:r>
      <w:r w:rsidRPr="00D778FA">
        <w:rPr>
          <w:sz w:val="28"/>
          <w:szCs w:val="28"/>
          <w:lang w:val="uk-UA"/>
        </w:rPr>
        <w:t>міжнародній конференції на тему: «Промислова безпека. Найкращі практики – 2018».</w:t>
      </w:r>
    </w:p>
    <w:p w:rsidR="000222DF" w:rsidRPr="00D778FA" w:rsidRDefault="000222DF" w:rsidP="000222DF">
      <w:pPr>
        <w:tabs>
          <w:tab w:val="left" w:pos="284"/>
          <w:tab w:val="left" w:pos="426"/>
        </w:tabs>
        <w:spacing w:before="120"/>
        <w:ind w:firstLine="1134"/>
        <w:jc w:val="both"/>
        <w:rPr>
          <w:spacing w:val="-16"/>
          <w:sz w:val="28"/>
          <w:szCs w:val="28"/>
          <w:lang w:val="uk-UA"/>
        </w:rPr>
      </w:pPr>
      <w:r w:rsidRPr="00D778FA">
        <w:rPr>
          <w:spacing w:val="-8"/>
          <w:sz w:val="28"/>
          <w:szCs w:val="28"/>
          <w:lang w:val="uk-UA"/>
        </w:rPr>
        <w:t xml:space="preserve">Весь керівний та інженерно-технічний персонал у відповідності до вимог нормативних документів проходить навчання та </w:t>
      </w:r>
      <w:r w:rsidRPr="00D778FA">
        <w:rPr>
          <w:spacing w:val="-9"/>
          <w:sz w:val="28"/>
          <w:szCs w:val="28"/>
          <w:lang w:val="uk-UA"/>
        </w:rPr>
        <w:t xml:space="preserve">перевірку знань з питань охорони праці в </w:t>
      </w:r>
      <w:r w:rsidRPr="00D778FA">
        <w:rPr>
          <w:sz w:val="28"/>
          <w:szCs w:val="28"/>
          <w:lang w:val="uk-UA"/>
        </w:rPr>
        <w:t>спеціалізованих навчальних закладах, які мають відповідні ліцензії.</w:t>
      </w:r>
    </w:p>
    <w:p w:rsidR="000222DF" w:rsidRPr="00D778FA" w:rsidRDefault="000222DF" w:rsidP="000222DF">
      <w:pPr>
        <w:widowControl w:val="0"/>
        <w:shd w:val="clear" w:color="auto" w:fill="FFFFFF"/>
        <w:tabs>
          <w:tab w:val="left" w:pos="284"/>
        </w:tabs>
        <w:autoSpaceDE w:val="0"/>
        <w:autoSpaceDN w:val="0"/>
        <w:adjustRightInd w:val="0"/>
        <w:spacing w:before="120"/>
        <w:ind w:right="7" w:firstLine="1134"/>
        <w:jc w:val="both"/>
        <w:rPr>
          <w:sz w:val="28"/>
          <w:szCs w:val="28"/>
          <w:lang w:val="uk-UA"/>
        </w:rPr>
      </w:pPr>
      <w:r w:rsidRPr="00D778FA">
        <w:rPr>
          <w:sz w:val="28"/>
          <w:szCs w:val="28"/>
          <w:lang w:val="uk-UA"/>
        </w:rPr>
        <w:t xml:space="preserve">Для  перевірки знань з питань охорони праці, пожежної </w:t>
      </w:r>
      <w:r w:rsidRPr="00D778FA">
        <w:rPr>
          <w:spacing w:val="-3"/>
          <w:sz w:val="28"/>
          <w:szCs w:val="28"/>
          <w:lang w:val="uk-UA"/>
        </w:rPr>
        <w:t xml:space="preserve">безпеки та правил технічної експлуатації наказами  </w:t>
      </w:r>
      <w:r w:rsidRPr="00D778FA">
        <w:rPr>
          <w:sz w:val="28"/>
          <w:szCs w:val="28"/>
          <w:lang w:val="uk-UA"/>
        </w:rPr>
        <w:t xml:space="preserve">створені центральні та цехові комісії. Члени центральної комісії Товариства пройшли навчання в навчально-виробничому центрі «ПРОФЕСІОНАЛ» та перевірку знань в комісії, що була створена наказом </w:t>
      </w:r>
      <w:proofErr w:type="spellStart"/>
      <w:r w:rsidRPr="00D778FA">
        <w:rPr>
          <w:sz w:val="28"/>
          <w:szCs w:val="28"/>
          <w:lang w:val="uk-UA"/>
        </w:rPr>
        <w:t>Міненерговугілля</w:t>
      </w:r>
      <w:proofErr w:type="spellEnd"/>
      <w:r w:rsidRPr="00D778FA">
        <w:rPr>
          <w:sz w:val="28"/>
          <w:szCs w:val="28"/>
          <w:lang w:val="uk-UA"/>
        </w:rPr>
        <w:t xml:space="preserve"> від 28.10.15 № 681.</w:t>
      </w:r>
      <w:r w:rsidRPr="00D778FA">
        <w:rPr>
          <w:spacing w:val="-6"/>
          <w:sz w:val="28"/>
          <w:szCs w:val="28"/>
          <w:lang w:val="uk-UA"/>
        </w:rPr>
        <w:t xml:space="preserve"> Для проведення перевірки знань в комісіях підприємства 1803 </w:t>
      </w:r>
      <w:r w:rsidRPr="00D778FA">
        <w:rPr>
          <w:spacing w:val="-1"/>
          <w:sz w:val="28"/>
          <w:szCs w:val="28"/>
          <w:lang w:val="uk-UA"/>
        </w:rPr>
        <w:t xml:space="preserve">працівника </w:t>
      </w:r>
      <w:r w:rsidRPr="00D778FA">
        <w:rPr>
          <w:spacing w:val="-6"/>
          <w:sz w:val="28"/>
          <w:szCs w:val="28"/>
          <w:lang w:val="uk-UA"/>
        </w:rPr>
        <w:t xml:space="preserve">пройшли навчання та </w:t>
      </w:r>
      <w:r w:rsidRPr="00D778FA">
        <w:rPr>
          <w:sz w:val="28"/>
          <w:szCs w:val="28"/>
          <w:lang w:val="uk-UA"/>
        </w:rPr>
        <w:t xml:space="preserve"> </w:t>
      </w:r>
      <w:r w:rsidRPr="00D778FA">
        <w:rPr>
          <w:spacing w:val="-6"/>
          <w:sz w:val="28"/>
          <w:szCs w:val="28"/>
          <w:lang w:val="uk-UA"/>
        </w:rPr>
        <w:t>перевірку знань на комп’ютерах, де</w:t>
      </w:r>
      <w:r w:rsidRPr="00D778FA">
        <w:rPr>
          <w:spacing w:val="-4"/>
          <w:sz w:val="28"/>
          <w:szCs w:val="28"/>
          <w:lang w:val="uk-UA"/>
        </w:rPr>
        <w:t xml:space="preserve"> </w:t>
      </w:r>
      <w:r w:rsidRPr="00D778FA">
        <w:rPr>
          <w:spacing w:val="-5"/>
          <w:sz w:val="28"/>
          <w:szCs w:val="28"/>
          <w:lang w:val="uk-UA"/>
        </w:rPr>
        <w:t>встановлені  навчально-екзаменаційні комплекси з програмою «</w:t>
      </w:r>
      <w:proofErr w:type="spellStart"/>
      <w:r w:rsidRPr="00D778FA">
        <w:rPr>
          <w:spacing w:val="-5"/>
          <w:sz w:val="28"/>
          <w:szCs w:val="28"/>
          <w:lang w:val="uk-UA"/>
        </w:rPr>
        <w:t>Автоекзаменатор</w:t>
      </w:r>
      <w:proofErr w:type="spellEnd"/>
      <w:r w:rsidRPr="00D778FA">
        <w:rPr>
          <w:spacing w:val="-5"/>
          <w:sz w:val="28"/>
          <w:szCs w:val="28"/>
          <w:lang w:val="uk-UA"/>
        </w:rPr>
        <w:t xml:space="preserve">-5.1», також пройшли перевірку знань у комісіях </w:t>
      </w:r>
      <w:proofErr w:type="spellStart"/>
      <w:r w:rsidRPr="00D778FA">
        <w:rPr>
          <w:spacing w:val="-5"/>
          <w:sz w:val="28"/>
          <w:szCs w:val="28"/>
          <w:lang w:val="uk-UA"/>
        </w:rPr>
        <w:t>Держпраці</w:t>
      </w:r>
      <w:proofErr w:type="spellEnd"/>
      <w:r w:rsidRPr="00D778FA">
        <w:rPr>
          <w:spacing w:val="-5"/>
          <w:sz w:val="28"/>
          <w:szCs w:val="28"/>
          <w:lang w:val="uk-UA"/>
        </w:rPr>
        <w:t xml:space="preserve"> 253 працівника.</w:t>
      </w:r>
    </w:p>
    <w:p w:rsidR="000222DF" w:rsidRPr="00D778FA" w:rsidRDefault="000222DF" w:rsidP="000222DF">
      <w:pPr>
        <w:tabs>
          <w:tab w:val="left" w:pos="284"/>
        </w:tabs>
        <w:spacing w:before="120"/>
        <w:ind w:firstLine="1134"/>
        <w:jc w:val="both"/>
        <w:rPr>
          <w:sz w:val="28"/>
          <w:szCs w:val="28"/>
          <w:lang w:val="uk-UA"/>
        </w:rPr>
      </w:pPr>
      <w:r w:rsidRPr="00D778FA">
        <w:rPr>
          <w:sz w:val="28"/>
          <w:szCs w:val="28"/>
          <w:lang w:val="uk-UA"/>
        </w:rPr>
        <w:t>До нормативної бази автоматизованого навчального комплексу «</w:t>
      </w:r>
      <w:proofErr w:type="spellStart"/>
      <w:r w:rsidRPr="00D778FA">
        <w:rPr>
          <w:sz w:val="28"/>
          <w:szCs w:val="28"/>
          <w:lang w:val="uk-UA"/>
        </w:rPr>
        <w:t>Автоекзаменатор</w:t>
      </w:r>
      <w:proofErr w:type="spellEnd"/>
      <w:r w:rsidRPr="00D778FA">
        <w:rPr>
          <w:sz w:val="28"/>
          <w:szCs w:val="28"/>
          <w:lang w:val="uk-UA"/>
        </w:rPr>
        <w:t xml:space="preserve"> 5.1» включено 80 нормативно-технічних документів. Навчально-методична база налічує 92 навчальні програми з охорони праці і нормативно-законодавчих актів та 92 навчальні програми з Правил технічної експлуатації електростанцій і мереж, виробничих інструкцій. В Товаристві обладнано таких 54 робочих місця. В поточному році введена </w:t>
      </w:r>
      <w:r w:rsidRPr="00D778FA">
        <w:rPr>
          <w:sz w:val="28"/>
          <w:szCs w:val="28"/>
          <w:lang w:val="en-US"/>
        </w:rPr>
        <w:t>WEB</w:t>
      </w:r>
      <w:r w:rsidRPr="00D778FA">
        <w:rPr>
          <w:sz w:val="28"/>
          <w:szCs w:val="28"/>
          <w:lang w:val="uk-UA"/>
        </w:rPr>
        <w:t xml:space="preserve">-версія </w:t>
      </w:r>
      <w:proofErr w:type="spellStart"/>
      <w:r w:rsidRPr="00D778FA">
        <w:rPr>
          <w:sz w:val="28"/>
          <w:szCs w:val="28"/>
          <w:lang w:val="uk-UA"/>
        </w:rPr>
        <w:t>автоекзаменатора</w:t>
      </w:r>
      <w:proofErr w:type="spellEnd"/>
      <w:r w:rsidRPr="00D778FA">
        <w:rPr>
          <w:sz w:val="28"/>
          <w:szCs w:val="28"/>
          <w:lang w:val="uk-UA"/>
        </w:rPr>
        <w:t xml:space="preserve"> «Охорона праці».</w:t>
      </w:r>
    </w:p>
    <w:p w:rsidR="000222DF" w:rsidRPr="00D778FA" w:rsidRDefault="000222DF" w:rsidP="000222DF">
      <w:pPr>
        <w:widowControl w:val="0"/>
        <w:shd w:val="clear" w:color="auto" w:fill="FFFFFF"/>
        <w:tabs>
          <w:tab w:val="left" w:pos="284"/>
        </w:tabs>
        <w:autoSpaceDE w:val="0"/>
        <w:autoSpaceDN w:val="0"/>
        <w:adjustRightInd w:val="0"/>
        <w:spacing w:before="120"/>
        <w:ind w:right="7" w:firstLine="1134"/>
        <w:jc w:val="both"/>
        <w:rPr>
          <w:sz w:val="28"/>
          <w:szCs w:val="28"/>
          <w:lang w:val="uk-UA"/>
        </w:rPr>
      </w:pPr>
      <w:r w:rsidRPr="00D778FA">
        <w:rPr>
          <w:sz w:val="28"/>
          <w:szCs w:val="28"/>
          <w:lang w:val="uk-UA"/>
        </w:rPr>
        <w:t xml:space="preserve">Психофізіологічний контроль у звітному році пройшли 170 працівників філії «Кременчуцька ГЕС», які працевлаштовані на робочі місця з небезпечними виробничими факторами  та професії яких потребують професійного добору. </w:t>
      </w:r>
    </w:p>
    <w:p w:rsidR="000222DF" w:rsidRPr="00D778FA" w:rsidRDefault="000222DF" w:rsidP="000222DF">
      <w:pPr>
        <w:shd w:val="clear" w:color="auto" w:fill="FFFFFF"/>
        <w:tabs>
          <w:tab w:val="left" w:pos="284"/>
        </w:tabs>
        <w:spacing w:before="120"/>
        <w:ind w:firstLine="1134"/>
        <w:jc w:val="both"/>
        <w:rPr>
          <w:sz w:val="28"/>
          <w:szCs w:val="28"/>
          <w:lang w:val="uk-UA"/>
        </w:rPr>
      </w:pPr>
      <w:r w:rsidRPr="00D778FA">
        <w:rPr>
          <w:spacing w:val="-6"/>
          <w:sz w:val="28"/>
          <w:szCs w:val="28"/>
          <w:lang w:val="uk-UA"/>
        </w:rPr>
        <w:t xml:space="preserve">Всі роботи на підприємстві виконуються за </w:t>
      </w:r>
      <w:r w:rsidRPr="00D778FA">
        <w:rPr>
          <w:spacing w:val="-7"/>
          <w:sz w:val="28"/>
          <w:szCs w:val="28"/>
          <w:lang w:val="uk-UA"/>
        </w:rPr>
        <w:t>нарядами-допусками, розпорядженнями та у порядку поточної експлуатації. Р</w:t>
      </w:r>
      <w:r w:rsidRPr="00D778FA">
        <w:rPr>
          <w:spacing w:val="-5"/>
          <w:sz w:val="28"/>
          <w:szCs w:val="28"/>
          <w:lang w:val="uk-UA"/>
        </w:rPr>
        <w:t xml:space="preserve">егулярно всі робочі місця перевіряються керівниками філій та структурних </w:t>
      </w:r>
      <w:r w:rsidRPr="00D778FA">
        <w:rPr>
          <w:sz w:val="28"/>
          <w:szCs w:val="28"/>
          <w:lang w:val="uk-UA"/>
        </w:rPr>
        <w:t>підрозділів. Згідно затвердженої тематики другого четверга кожного місяця на філіях Товариства проводиться День охорони праці, результати якого обговорюються на селекторній нараді. Щоквартально проводяться селекторні наради щодо виконання заходів приписів контролюючих органів.</w:t>
      </w:r>
    </w:p>
    <w:p w:rsidR="000222DF" w:rsidRPr="00D778FA" w:rsidRDefault="000222DF" w:rsidP="000222DF">
      <w:pPr>
        <w:tabs>
          <w:tab w:val="left" w:pos="284"/>
        </w:tabs>
        <w:spacing w:before="120"/>
        <w:ind w:firstLine="1134"/>
        <w:jc w:val="both"/>
        <w:rPr>
          <w:spacing w:val="-1"/>
          <w:sz w:val="28"/>
          <w:szCs w:val="28"/>
          <w:lang w:val="uk-UA" w:eastAsia="uk-UA"/>
        </w:rPr>
      </w:pPr>
      <w:r w:rsidRPr="00D778FA">
        <w:rPr>
          <w:sz w:val="28"/>
          <w:szCs w:val="28"/>
          <w:lang w:val="uk-UA"/>
        </w:rPr>
        <w:lastRenderedPageBreak/>
        <w:t>Протягом 2018 року двічі вводилися в дію особливі умови безпечного виконання робіт. В період дії особливих умов щ</w:t>
      </w:r>
      <w:r w:rsidRPr="00D778FA">
        <w:rPr>
          <w:iCs/>
          <w:sz w:val="28"/>
          <w:szCs w:val="28"/>
          <w:lang w:val="uk-UA"/>
        </w:rPr>
        <w:t xml:space="preserve">одня проводився аналіз результатів перевірок робочих місць. </w:t>
      </w:r>
      <w:r w:rsidRPr="00D778FA">
        <w:rPr>
          <w:sz w:val="28"/>
          <w:szCs w:val="28"/>
          <w:lang w:val="uk-UA" w:eastAsia="uk-UA"/>
        </w:rPr>
        <w:t xml:space="preserve">Під час перевірок особливу увагу було звернено на виконання організаційних та технічних заходів при проведенні робіт підвищеної небезпеки, </w:t>
      </w:r>
      <w:r w:rsidRPr="00D778FA">
        <w:rPr>
          <w:spacing w:val="-1"/>
          <w:sz w:val="28"/>
          <w:szCs w:val="28"/>
          <w:lang w:val="uk-UA" w:eastAsia="uk-UA"/>
        </w:rPr>
        <w:t xml:space="preserve">на використання засобів захисту та організацію допуску відряджених працівників і працівників будівельно-монтажних організацій. </w:t>
      </w:r>
    </w:p>
    <w:p w:rsidR="000222DF" w:rsidRPr="00D778FA" w:rsidRDefault="000222DF" w:rsidP="000222DF">
      <w:pPr>
        <w:tabs>
          <w:tab w:val="left" w:pos="284"/>
        </w:tabs>
        <w:spacing w:before="120"/>
        <w:ind w:firstLine="1134"/>
        <w:jc w:val="both"/>
        <w:rPr>
          <w:spacing w:val="-1"/>
          <w:sz w:val="28"/>
          <w:szCs w:val="28"/>
          <w:lang w:val="uk-UA" w:eastAsia="uk-UA"/>
        </w:rPr>
      </w:pPr>
      <w:r w:rsidRPr="00D778FA">
        <w:rPr>
          <w:spacing w:val="-2"/>
          <w:sz w:val="28"/>
          <w:szCs w:val="28"/>
          <w:lang w:val="uk-UA"/>
        </w:rPr>
        <w:t xml:space="preserve">В Товаристві вирішено питання санітарно-побутового забезпечення працюючих, - виробничі та побутові приміщення відповідають сучасним вимогам, постійно продовжується робота щодо їх покращення. Працівники, які працюють в шкідливих умовах, систематично отримують молоко. Персонал Товариства забезпечений засобами індивідуального та колективного захисту, питною водою. </w:t>
      </w:r>
    </w:p>
    <w:p w:rsidR="000222DF" w:rsidRPr="00D778FA" w:rsidRDefault="000222DF" w:rsidP="000222DF">
      <w:pPr>
        <w:tabs>
          <w:tab w:val="left" w:pos="284"/>
        </w:tabs>
        <w:spacing w:before="120"/>
        <w:ind w:firstLine="1134"/>
        <w:jc w:val="both"/>
        <w:rPr>
          <w:sz w:val="28"/>
          <w:szCs w:val="28"/>
          <w:lang w:val="uk-UA"/>
        </w:rPr>
      </w:pPr>
      <w:r w:rsidRPr="00D778FA">
        <w:rPr>
          <w:sz w:val="28"/>
          <w:szCs w:val="28"/>
          <w:lang w:val="uk-UA"/>
        </w:rPr>
        <w:t>Значна увага приділяється медичному забезпеченню працюючих. На кожній філії Товариства є медичний пункт, в яких працює 10 чоловік. Медичним персоналом здійснюється систематичний контроль за групою працівників, які перебувають на диспансерному обліку. Працівники, що внесені до групи ризику, а також інваліди знаходяться на контролі та, при необхідності, направляються  на консультації та лікування в медичні заклади.  Періодичний медичний огляд у звітному році пройшли 1818 працівників, оздоровлено за напрямками в санаторіях 247 працівників та на базах відпочинку - 624.</w:t>
      </w:r>
    </w:p>
    <w:p w:rsidR="000222DF" w:rsidRPr="00D778FA" w:rsidRDefault="000222DF" w:rsidP="000222DF">
      <w:pPr>
        <w:tabs>
          <w:tab w:val="left" w:pos="284"/>
        </w:tabs>
        <w:spacing w:before="120"/>
        <w:ind w:firstLine="1134"/>
        <w:jc w:val="both"/>
        <w:rPr>
          <w:sz w:val="28"/>
          <w:szCs w:val="28"/>
          <w:lang w:val="uk-UA"/>
        </w:rPr>
      </w:pPr>
      <w:r w:rsidRPr="00D778FA">
        <w:rPr>
          <w:sz w:val="28"/>
          <w:szCs w:val="28"/>
          <w:lang w:val="uk-UA"/>
        </w:rPr>
        <w:t xml:space="preserve">З метою проведення діагностики та лікування на всіх філіях Товариства функціонують системи </w:t>
      </w:r>
      <w:proofErr w:type="spellStart"/>
      <w:r w:rsidRPr="00D778FA">
        <w:rPr>
          <w:sz w:val="28"/>
          <w:szCs w:val="28"/>
          <w:lang w:val="uk-UA"/>
        </w:rPr>
        <w:t>спектродинамічної</w:t>
      </w:r>
      <w:proofErr w:type="spellEnd"/>
      <w:r w:rsidRPr="00D778FA">
        <w:rPr>
          <w:sz w:val="28"/>
          <w:szCs w:val="28"/>
          <w:lang w:val="uk-UA"/>
        </w:rPr>
        <w:t xml:space="preserve"> фототерапії «</w:t>
      </w:r>
      <w:proofErr w:type="spellStart"/>
      <w:r w:rsidRPr="00D778FA">
        <w:rPr>
          <w:sz w:val="28"/>
          <w:szCs w:val="28"/>
          <w:lang w:val="uk-UA"/>
        </w:rPr>
        <w:t>Сінергіс</w:t>
      </w:r>
      <w:proofErr w:type="spellEnd"/>
      <w:r w:rsidRPr="00D778FA">
        <w:rPr>
          <w:sz w:val="28"/>
          <w:szCs w:val="28"/>
          <w:lang w:val="uk-UA"/>
        </w:rPr>
        <w:t xml:space="preserve">». </w:t>
      </w:r>
    </w:p>
    <w:p w:rsidR="000222DF" w:rsidRPr="00D778FA" w:rsidRDefault="000222DF" w:rsidP="000222DF">
      <w:pPr>
        <w:tabs>
          <w:tab w:val="left" w:pos="284"/>
        </w:tabs>
        <w:spacing w:before="120"/>
        <w:ind w:firstLine="1134"/>
        <w:contextualSpacing/>
        <w:jc w:val="both"/>
        <w:rPr>
          <w:snapToGrid w:val="0"/>
          <w:sz w:val="28"/>
          <w:szCs w:val="28"/>
          <w:lang w:val="uk-UA"/>
        </w:rPr>
      </w:pPr>
      <w:r w:rsidRPr="00D778FA">
        <w:rPr>
          <w:sz w:val="28"/>
          <w:szCs w:val="28"/>
          <w:lang w:val="uk-UA"/>
        </w:rPr>
        <w:t>Для недопущення травмування сторонніх осіб на обладнанні Товариства вживаються заходи, що виключають їх проникнення на підвідомчу територію, в будівлі та приміщення, а саме: впроваджена охоронна сигналізація, встановлюється додаткове освітлення, сферичні дзеркала для огляду проїзної  частини мостових переходів, ведеться постійний контроль за технічним станом огорож, запірних пристроїв та попереджувальних знаків та плакатів</w:t>
      </w:r>
      <w:r w:rsidRPr="00D778FA">
        <w:rPr>
          <w:snapToGrid w:val="0"/>
          <w:sz w:val="28"/>
          <w:szCs w:val="28"/>
          <w:lang w:val="uk-UA"/>
        </w:rPr>
        <w:t xml:space="preserve">. </w:t>
      </w:r>
    </w:p>
    <w:p w:rsidR="000222DF" w:rsidRPr="00D778FA" w:rsidRDefault="000222DF" w:rsidP="000222DF">
      <w:pPr>
        <w:tabs>
          <w:tab w:val="left" w:pos="284"/>
        </w:tabs>
        <w:spacing w:before="120"/>
        <w:ind w:firstLine="1134"/>
        <w:jc w:val="both"/>
        <w:rPr>
          <w:sz w:val="28"/>
          <w:szCs w:val="28"/>
          <w:lang w:val="uk-UA"/>
        </w:rPr>
      </w:pPr>
      <w:r w:rsidRPr="00D778FA">
        <w:rPr>
          <w:sz w:val="28"/>
          <w:szCs w:val="28"/>
          <w:lang w:val="uk-UA"/>
        </w:rPr>
        <w:t>В Товаристві атестовано 477 робочих місця, у звітному році проведено атестацію 10 робочих місць.</w:t>
      </w:r>
    </w:p>
    <w:p w:rsidR="000222DF" w:rsidRPr="00D778FA" w:rsidRDefault="000222DF" w:rsidP="000222DF">
      <w:pPr>
        <w:tabs>
          <w:tab w:val="left" w:pos="284"/>
          <w:tab w:val="num" w:pos="720"/>
        </w:tabs>
        <w:spacing w:before="120"/>
        <w:ind w:firstLine="1134"/>
        <w:jc w:val="both"/>
        <w:rPr>
          <w:sz w:val="28"/>
          <w:szCs w:val="28"/>
          <w:lang w:val="uk-UA"/>
        </w:rPr>
      </w:pPr>
      <w:r w:rsidRPr="00D778FA">
        <w:rPr>
          <w:sz w:val="28"/>
          <w:szCs w:val="28"/>
          <w:lang w:val="uk-UA"/>
        </w:rPr>
        <w:t xml:space="preserve">У 2018 році перевірок представниками </w:t>
      </w:r>
      <w:proofErr w:type="spellStart"/>
      <w:r w:rsidRPr="00D778FA">
        <w:rPr>
          <w:sz w:val="28"/>
          <w:szCs w:val="28"/>
          <w:lang w:val="uk-UA"/>
        </w:rPr>
        <w:t>Держпраці</w:t>
      </w:r>
      <w:proofErr w:type="spellEnd"/>
      <w:r w:rsidRPr="00D778FA">
        <w:rPr>
          <w:sz w:val="28"/>
          <w:szCs w:val="28"/>
          <w:lang w:val="uk-UA"/>
        </w:rPr>
        <w:t xml:space="preserve"> не було. Поряд з цим проведено 248 перевірок службами охорони праці Товариства та 1002 - під час введення особливих умов безпечного виконання робіт. Заходи щодо усунення виявлених зауважень, строк виконання яких вийшов, виконані. За порушення вимог охорони праці впродовж року притягнуто до відповідальності 23 працівника та позбавлені премії ще 33 працівника на загальну суму 35 552,23 грн. .</w:t>
      </w:r>
    </w:p>
    <w:p w:rsidR="000222DF" w:rsidRPr="00D778FA" w:rsidRDefault="000222DF" w:rsidP="000222DF">
      <w:pPr>
        <w:tabs>
          <w:tab w:val="left" w:pos="284"/>
        </w:tabs>
        <w:spacing w:before="120"/>
        <w:ind w:firstLine="1134"/>
        <w:jc w:val="both"/>
        <w:rPr>
          <w:sz w:val="28"/>
          <w:szCs w:val="28"/>
          <w:lang w:val="uk-UA"/>
        </w:rPr>
      </w:pPr>
      <w:r w:rsidRPr="00D778FA">
        <w:rPr>
          <w:sz w:val="28"/>
          <w:szCs w:val="28"/>
          <w:lang w:val="uk-UA"/>
        </w:rPr>
        <w:t>Витрати у 2018 році на фінансування заходів з охорони праці склали 10456 тис. грн., що становить 2,54 % від фонду оплати праці за 2017 рік, що відповідає вимогам Закону України «Про охорону праці».</w:t>
      </w:r>
    </w:p>
    <w:p w:rsidR="000222DF" w:rsidRPr="00D778FA" w:rsidRDefault="000222DF" w:rsidP="000222DF">
      <w:pPr>
        <w:spacing w:before="120"/>
        <w:ind w:firstLine="1134"/>
        <w:jc w:val="both"/>
        <w:rPr>
          <w:sz w:val="28"/>
          <w:szCs w:val="28"/>
          <w:lang w:val="uk-UA"/>
        </w:rPr>
      </w:pPr>
    </w:p>
    <w:p w:rsidR="000222DF" w:rsidRPr="00D778FA" w:rsidRDefault="000222DF" w:rsidP="000222DF">
      <w:pPr>
        <w:spacing w:before="120"/>
        <w:jc w:val="both"/>
        <w:rPr>
          <w:sz w:val="28"/>
          <w:szCs w:val="28"/>
          <w:lang w:val="uk-UA"/>
        </w:rPr>
        <w:sectPr w:rsidR="000222DF" w:rsidRPr="00D778FA" w:rsidSect="00D778FA">
          <w:pgSz w:w="11907" w:h="16840" w:code="9"/>
          <w:pgMar w:top="850" w:right="708" w:bottom="993" w:left="1560" w:header="720" w:footer="720" w:gutter="0"/>
          <w:cols w:space="720"/>
          <w:docGrid w:linePitch="272"/>
        </w:sectPr>
      </w:pPr>
    </w:p>
    <w:tbl>
      <w:tblPr>
        <w:tblW w:w="13373" w:type="dxa"/>
        <w:tblInd w:w="959" w:type="dxa"/>
        <w:tblLook w:val="04A0" w:firstRow="1" w:lastRow="0" w:firstColumn="1" w:lastColumn="0" w:noHBand="0" w:noVBand="1"/>
      </w:tblPr>
      <w:tblGrid>
        <w:gridCol w:w="436"/>
        <w:gridCol w:w="2494"/>
        <w:gridCol w:w="831"/>
        <w:gridCol w:w="1290"/>
        <w:gridCol w:w="1290"/>
        <w:gridCol w:w="1452"/>
        <w:gridCol w:w="812"/>
        <w:gridCol w:w="1302"/>
        <w:gridCol w:w="812"/>
        <w:gridCol w:w="1146"/>
        <w:gridCol w:w="812"/>
        <w:gridCol w:w="1302"/>
      </w:tblGrid>
      <w:tr w:rsidR="000222DF" w:rsidRPr="00095B5E" w:rsidTr="00924B3D">
        <w:trPr>
          <w:trHeight w:val="255"/>
        </w:trPr>
        <w:tc>
          <w:tcPr>
            <w:tcW w:w="436" w:type="dxa"/>
            <w:tcBorders>
              <w:top w:val="nil"/>
              <w:left w:val="nil"/>
              <w:bottom w:val="nil"/>
              <w:right w:val="nil"/>
            </w:tcBorders>
            <w:shd w:val="clear" w:color="auto" w:fill="auto"/>
            <w:noWrap/>
            <w:vAlign w:val="bottom"/>
            <w:hideMark/>
          </w:tcPr>
          <w:p w:rsidR="000222DF" w:rsidRPr="00095B5E" w:rsidRDefault="000222DF" w:rsidP="00924B3D">
            <w:pPr>
              <w:rPr>
                <w:lang w:val="uk-UA" w:eastAsia="uk-UA"/>
              </w:rPr>
            </w:pPr>
          </w:p>
        </w:tc>
        <w:tc>
          <w:tcPr>
            <w:tcW w:w="10992" w:type="dxa"/>
            <w:gridSpan w:val="9"/>
            <w:tcBorders>
              <w:top w:val="nil"/>
              <w:left w:val="nil"/>
              <w:bottom w:val="nil"/>
              <w:right w:val="nil"/>
            </w:tcBorders>
            <w:shd w:val="clear" w:color="auto" w:fill="auto"/>
            <w:noWrap/>
            <w:vAlign w:val="bottom"/>
            <w:hideMark/>
          </w:tcPr>
          <w:p w:rsidR="000222DF" w:rsidRPr="00095B5E" w:rsidRDefault="000222DF" w:rsidP="00924B3D">
            <w:pPr>
              <w:jc w:val="center"/>
              <w:rPr>
                <w:b/>
                <w:bCs/>
                <w:sz w:val="28"/>
                <w:szCs w:val="28"/>
                <w:lang w:val="uk-UA" w:eastAsia="uk-UA"/>
              </w:rPr>
            </w:pPr>
            <w:r w:rsidRPr="00095B5E">
              <w:rPr>
                <w:b/>
                <w:bCs/>
                <w:lang w:val="uk-UA" w:eastAsia="uk-UA"/>
              </w:rPr>
              <w:t xml:space="preserve">   </w:t>
            </w:r>
            <w:r w:rsidRPr="00095B5E">
              <w:rPr>
                <w:b/>
                <w:bCs/>
                <w:sz w:val="28"/>
                <w:szCs w:val="28"/>
                <w:lang w:val="uk-UA" w:eastAsia="uk-UA"/>
              </w:rPr>
              <w:t>Стан травматизму та профзахворювання у 2018 році</w:t>
            </w:r>
          </w:p>
        </w:tc>
        <w:tc>
          <w:tcPr>
            <w:tcW w:w="1945" w:type="dxa"/>
            <w:gridSpan w:val="2"/>
            <w:tcBorders>
              <w:top w:val="nil"/>
              <w:left w:val="nil"/>
              <w:bottom w:val="nil"/>
              <w:right w:val="nil"/>
            </w:tcBorders>
            <w:shd w:val="clear" w:color="auto" w:fill="auto"/>
            <w:vAlign w:val="bottom"/>
            <w:hideMark/>
          </w:tcPr>
          <w:p w:rsidR="000222DF" w:rsidRPr="00095B5E" w:rsidRDefault="000222DF" w:rsidP="00924B3D">
            <w:pPr>
              <w:jc w:val="center"/>
              <w:rPr>
                <w:b/>
                <w:bCs/>
                <w:lang w:val="uk-UA" w:eastAsia="uk-UA"/>
              </w:rPr>
            </w:pPr>
          </w:p>
        </w:tc>
      </w:tr>
      <w:tr w:rsidR="000222DF" w:rsidRPr="00095B5E" w:rsidTr="00924B3D">
        <w:trPr>
          <w:trHeight w:val="270"/>
        </w:trPr>
        <w:tc>
          <w:tcPr>
            <w:tcW w:w="436" w:type="dxa"/>
            <w:tcBorders>
              <w:top w:val="nil"/>
              <w:left w:val="nil"/>
              <w:bottom w:val="nil"/>
              <w:right w:val="nil"/>
            </w:tcBorders>
            <w:shd w:val="clear" w:color="auto" w:fill="auto"/>
            <w:noWrap/>
            <w:vAlign w:val="bottom"/>
            <w:hideMark/>
          </w:tcPr>
          <w:p w:rsidR="000222DF" w:rsidRPr="00095B5E" w:rsidRDefault="000222DF" w:rsidP="00924B3D">
            <w:pPr>
              <w:rPr>
                <w:lang w:val="uk-UA" w:eastAsia="uk-UA"/>
              </w:rPr>
            </w:pPr>
          </w:p>
        </w:tc>
        <w:tc>
          <w:tcPr>
            <w:tcW w:w="2494" w:type="dxa"/>
            <w:tcBorders>
              <w:top w:val="nil"/>
              <w:left w:val="nil"/>
              <w:bottom w:val="nil"/>
              <w:right w:val="nil"/>
            </w:tcBorders>
            <w:shd w:val="clear" w:color="auto" w:fill="auto"/>
            <w:noWrap/>
            <w:vAlign w:val="bottom"/>
            <w:hideMark/>
          </w:tcPr>
          <w:p w:rsidR="000222DF" w:rsidRPr="00095B5E" w:rsidRDefault="000222DF" w:rsidP="00924B3D">
            <w:pPr>
              <w:rPr>
                <w:lang w:val="uk-UA" w:eastAsia="uk-UA"/>
              </w:rPr>
            </w:pPr>
          </w:p>
        </w:tc>
        <w:tc>
          <w:tcPr>
            <w:tcW w:w="831" w:type="dxa"/>
            <w:tcBorders>
              <w:top w:val="nil"/>
              <w:left w:val="nil"/>
              <w:bottom w:val="nil"/>
              <w:right w:val="nil"/>
            </w:tcBorders>
            <w:shd w:val="clear" w:color="auto" w:fill="auto"/>
            <w:noWrap/>
            <w:vAlign w:val="bottom"/>
            <w:hideMark/>
          </w:tcPr>
          <w:p w:rsidR="000222DF" w:rsidRPr="00095B5E" w:rsidRDefault="000222DF" w:rsidP="00924B3D">
            <w:pPr>
              <w:rPr>
                <w:lang w:val="uk-UA" w:eastAsia="uk-UA"/>
              </w:rPr>
            </w:pPr>
          </w:p>
        </w:tc>
        <w:tc>
          <w:tcPr>
            <w:tcW w:w="1182" w:type="dxa"/>
            <w:tcBorders>
              <w:top w:val="nil"/>
              <w:left w:val="nil"/>
              <w:bottom w:val="nil"/>
              <w:right w:val="nil"/>
            </w:tcBorders>
            <w:shd w:val="clear" w:color="auto" w:fill="auto"/>
            <w:noWrap/>
            <w:vAlign w:val="bottom"/>
            <w:hideMark/>
          </w:tcPr>
          <w:p w:rsidR="000222DF" w:rsidRPr="00095B5E" w:rsidRDefault="000222DF" w:rsidP="00924B3D">
            <w:pPr>
              <w:rPr>
                <w:lang w:val="uk-UA" w:eastAsia="uk-UA"/>
              </w:rPr>
            </w:pPr>
          </w:p>
        </w:tc>
        <w:tc>
          <w:tcPr>
            <w:tcW w:w="1260" w:type="dxa"/>
            <w:tcBorders>
              <w:top w:val="nil"/>
              <w:left w:val="nil"/>
              <w:bottom w:val="nil"/>
              <w:right w:val="nil"/>
            </w:tcBorders>
            <w:shd w:val="clear" w:color="auto" w:fill="auto"/>
            <w:noWrap/>
            <w:vAlign w:val="bottom"/>
            <w:hideMark/>
          </w:tcPr>
          <w:p w:rsidR="000222DF" w:rsidRPr="00095B5E" w:rsidRDefault="000222DF" w:rsidP="00924B3D">
            <w:pPr>
              <w:rPr>
                <w:lang w:val="uk-UA" w:eastAsia="uk-UA"/>
              </w:rPr>
            </w:pPr>
          </w:p>
        </w:tc>
        <w:tc>
          <w:tcPr>
            <w:tcW w:w="1452" w:type="dxa"/>
            <w:tcBorders>
              <w:top w:val="nil"/>
              <w:left w:val="nil"/>
              <w:bottom w:val="nil"/>
              <w:right w:val="nil"/>
            </w:tcBorders>
            <w:shd w:val="clear" w:color="auto" w:fill="auto"/>
            <w:noWrap/>
            <w:vAlign w:val="bottom"/>
            <w:hideMark/>
          </w:tcPr>
          <w:p w:rsidR="000222DF" w:rsidRPr="00095B5E" w:rsidRDefault="000222DF" w:rsidP="00924B3D">
            <w:pPr>
              <w:rPr>
                <w:lang w:val="uk-UA" w:eastAsia="uk-UA"/>
              </w:rPr>
            </w:pPr>
          </w:p>
        </w:tc>
        <w:tc>
          <w:tcPr>
            <w:tcW w:w="752" w:type="dxa"/>
            <w:tcBorders>
              <w:top w:val="nil"/>
              <w:left w:val="nil"/>
              <w:bottom w:val="nil"/>
              <w:right w:val="nil"/>
            </w:tcBorders>
            <w:shd w:val="clear" w:color="auto" w:fill="auto"/>
            <w:noWrap/>
            <w:vAlign w:val="bottom"/>
            <w:hideMark/>
          </w:tcPr>
          <w:p w:rsidR="000222DF" w:rsidRPr="00095B5E" w:rsidRDefault="000222DF" w:rsidP="00924B3D">
            <w:pPr>
              <w:rPr>
                <w:lang w:val="uk-UA" w:eastAsia="uk-UA"/>
              </w:rPr>
            </w:pPr>
          </w:p>
        </w:tc>
        <w:tc>
          <w:tcPr>
            <w:tcW w:w="1193" w:type="dxa"/>
            <w:tcBorders>
              <w:top w:val="nil"/>
              <w:left w:val="nil"/>
              <w:bottom w:val="nil"/>
              <w:right w:val="nil"/>
            </w:tcBorders>
            <w:shd w:val="clear" w:color="auto" w:fill="auto"/>
            <w:noWrap/>
            <w:vAlign w:val="bottom"/>
            <w:hideMark/>
          </w:tcPr>
          <w:p w:rsidR="000222DF" w:rsidRPr="00095B5E" w:rsidRDefault="000222DF" w:rsidP="00924B3D">
            <w:pPr>
              <w:rPr>
                <w:lang w:val="uk-UA" w:eastAsia="uk-UA"/>
              </w:rPr>
            </w:pPr>
          </w:p>
        </w:tc>
        <w:tc>
          <w:tcPr>
            <w:tcW w:w="775" w:type="dxa"/>
            <w:tcBorders>
              <w:top w:val="nil"/>
              <w:left w:val="nil"/>
              <w:bottom w:val="nil"/>
              <w:right w:val="nil"/>
            </w:tcBorders>
            <w:shd w:val="clear" w:color="auto" w:fill="auto"/>
            <w:noWrap/>
            <w:vAlign w:val="bottom"/>
            <w:hideMark/>
          </w:tcPr>
          <w:p w:rsidR="000222DF" w:rsidRPr="00095B5E" w:rsidRDefault="000222DF" w:rsidP="00924B3D">
            <w:pPr>
              <w:rPr>
                <w:lang w:val="uk-UA" w:eastAsia="uk-UA"/>
              </w:rPr>
            </w:pPr>
          </w:p>
        </w:tc>
        <w:tc>
          <w:tcPr>
            <w:tcW w:w="1053" w:type="dxa"/>
            <w:tcBorders>
              <w:top w:val="nil"/>
              <w:left w:val="nil"/>
              <w:bottom w:val="nil"/>
              <w:right w:val="nil"/>
            </w:tcBorders>
            <w:shd w:val="clear" w:color="auto" w:fill="auto"/>
            <w:noWrap/>
            <w:vAlign w:val="bottom"/>
            <w:hideMark/>
          </w:tcPr>
          <w:p w:rsidR="000222DF" w:rsidRPr="00095B5E" w:rsidRDefault="000222DF" w:rsidP="00924B3D">
            <w:pPr>
              <w:rPr>
                <w:lang w:val="uk-UA" w:eastAsia="uk-UA"/>
              </w:rPr>
            </w:pPr>
          </w:p>
        </w:tc>
        <w:tc>
          <w:tcPr>
            <w:tcW w:w="752" w:type="dxa"/>
            <w:tcBorders>
              <w:top w:val="nil"/>
              <w:left w:val="nil"/>
              <w:bottom w:val="nil"/>
              <w:right w:val="nil"/>
            </w:tcBorders>
            <w:shd w:val="clear" w:color="auto" w:fill="auto"/>
            <w:noWrap/>
            <w:vAlign w:val="bottom"/>
            <w:hideMark/>
          </w:tcPr>
          <w:p w:rsidR="000222DF" w:rsidRPr="00095B5E" w:rsidRDefault="000222DF" w:rsidP="00924B3D">
            <w:pPr>
              <w:rPr>
                <w:lang w:val="uk-UA" w:eastAsia="uk-UA"/>
              </w:rPr>
            </w:pPr>
          </w:p>
        </w:tc>
        <w:tc>
          <w:tcPr>
            <w:tcW w:w="1193" w:type="dxa"/>
            <w:tcBorders>
              <w:top w:val="nil"/>
              <w:left w:val="nil"/>
              <w:bottom w:val="nil"/>
              <w:right w:val="nil"/>
            </w:tcBorders>
            <w:shd w:val="clear" w:color="auto" w:fill="auto"/>
            <w:noWrap/>
            <w:vAlign w:val="bottom"/>
            <w:hideMark/>
          </w:tcPr>
          <w:p w:rsidR="000222DF" w:rsidRPr="00095B5E" w:rsidRDefault="000222DF" w:rsidP="00924B3D">
            <w:pPr>
              <w:rPr>
                <w:lang w:val="uk-UA" w:eastAsia="uk-UA"/>
              </w:rPr>
            </w:pPr>
          </w:p>
        </w:tc>
      </w:tr>
      <w:tr w:rsidR="000222DF" w:rsidRPr="00095B5E" w:rsidTr="00924B3D">
        <w:trPr>
          <w:trHeight w:val="2295"/>
        </w:trPr>
        <w:tc>
          <w:tcPr>
            <w:tcW w:w="43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w:t>
            </w:r>
          </w:p>
        </w:tc>
        <w:tc>
          <w:tcPr>
            <w:tcW w:w="2494" w:type="dxa"/>
            <w:vMerge w:val="restart"/>
            <w:tcBorders>
              <w:top w:val="single" w:sz="8" w:space="0" w:color="auto"/>
              <w:left w:val="single" w:sz="4" w:space="0" w:color="auto"/>
              <w:bottom w:val="single" w:sz="4" w:space="0" w:color="auto"/>
              <w:right w:val="nil"/>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 xml:space="preserve">Назва підприємства </w:t>
            </w:r>
          </w:p>
        </w:tc>
        <w:tc>
          <w:tcPr>
            <w:tcW w:w="4725"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Кількість випадків виробничого травматизму  (Н-1, Н-5)</w:t>
            </w:r>
          </w:p>
        </w:tc>
        <w:tc>
          <w:tcPr>
            <w:tcW w:w="1945" w:type="dxa"/>
            <w:gridSpan w:val="2"/>
            <w:tcBorders>
              <w:top w:val="single" w:sz="8" w:space="0" w:color="auto"/>
              <w:left w:val="nil"/>
              <w:bottom w:val="single" w:sz="4" w:space="0" w:color="auto"/>
              <w:right w:val="single" w:sz="8" w:space="0" w:color="000000"/>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Кількість випадків внаслідок погіршення стану здоров'я  (Н-5)</w:t>
            </w:r>
          </w:p>
        </w:tc>
        <w:tc>
          <w:tcPr>
            <w:tcW w:w="1828" w:type="dxa"/>
            <w:gridSpan w:val="2"/>
            <w:tcBorders>
              <w:top w:val="single" w:sz="8" w:space="0" w:color="auto"/>
              <w:left w:val="nil"/>
              <w:bottom w:val="single" w:sz="4" w:space="0" w:color="auto"/>
              <w:right w:val="single" w:sz="8" w:space="0" w:color="000000"/>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 xml:space="preserve">Кількість випадків    профзахворювань </w:t>
            </w:r>
          </w:p>
        </w:tc>
        <w:tc>
          <w:tcPr>
            <w:tcW w:w="1945" w:type="dxa"/>
            <w:gridSpan w:val="2"/>
            <w:tcBorders>
              <w:top w:val="single" w:sz="8" w:space="0" w:color="auto"/>
              <w:left w:val="nil"/>
              <w:bottom w:val="single" w:sz="4" w:space="0" w:color="auto"/>
              <w:right w:val="single" w:sz="8" w:space="0" w:color="000000"/>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Кількість випадків травмування сторонніх осіб на електрообладнанні підприємства</w:t>
            </w:r>
          </w:p>
        </w:tc>
      </w:tr>
      <w:tr w:rsidR="000222DF" w:rsidRPr="00095B5E" w:rsidTr="00924B3D">
        <w:trPr>
          <w:trHeight w:val="1200"/>
        </w:trPr>
        <w:tc>
          <w:tcPr>
            <w:tcW w:w="436" w:type="dxa"/>
            <w:vMerge/>
            <w:tcBorders>
              <w:top w:val="single" w:sz="8" w:space="0" w:color="auto"/>
              <w:left w:val="single" w:sz="8" w:space="0" w:color="auto"/>
              <w:bottom w:val="single" w:sz="4" w:space="0" w:color="auto"/>
              <w:right w:val="single" w:sz="4" w:space="0" w:color="auto"/>
            </w:tcBorders>
            <w:vAlign w:val="center"/>
            <w:hideMark/>
          </w:tcPr>
          <w:p w:rsidR="000222DF" w:rsidRPr="00095B5E" w:rsidRDefault="000222DF" w:rsidP="00924B3D">
            <w:pPr>
              <w:rPr>
                <w:lang w:val="uk-UA" w:eastAsia="uk-UA"/>
              </w:rPr>
            </w:pPr>
          </w:p>
        </w:tc>
        <w:tc>
          <w:tcPr>
            <w:tcW w:w="2494" w:type="dxa"/>
            <w:vMerge/>
            <w:tcBorders>
              <w:top w:val="single" w:sz="8" w:space="0" w:color="auto"/>
              <w:left w:val="single" w:sz="4" w:space="0" w:color="auto"/>
              <w:bottom w:val="single" w:sz="4" w:space="0" w:color="auto"/>
              <w:right w:val="nil"/>
            </w:tcBorders>
            <w:vAlign w:val="center"/>
            <w:hideMark/>
          </w:tcPr>
          <w:p w:rsidR="000222DF" w:rsidRPr="00095B5E" w:rsidRDefault="000222DF" w:rsidP="00924B3D">
            <w:pPr>
              <w:rPr>
                <w:lang w:val="uk-UA" w:eastAsia="uk-UA"/>
              </w:rPr>
            </w:pPr>
          </w:p>
        </w:tc>
        <w:tc>
          <w:tcPr>
            <w:tcW w:w="831" w:type="dxa"/>
            <w:vMerge w:val="restart"/>
            <w:tcBorders>
              <w:top w:val="nil"/>
              <w:left w:val="single" w:sz="8" w:space="0" w:color="auto"/>
              <w:bottom w:val="single" w:sz="4" w:space="0" w:color="auto"/>
              <w:right w:val="single" w:sz="4" w:space="0" w:color="auto"/>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Всього</w:t>
            </w:r>
          </w:p>
        </w:tc>
        <w:tc>
          <w:tcPr>
            <w:tcW w:w="2442" w:type="dxa"/>
            <w:gridSpan w:val="2"/>
            <w:tcBorders>
              <w:top w:val="single" w:sz="4" w:space="0" w:color="auto"/>
              <w:left w:val="nil"/>
              <w:bottom w:val="single" w:sz="4" w:space="0" w:color="auto"/>
              <w:right w:val="single" w:sz="4" w:space="0" w:color="000000"/>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 xml:space="preserve">у тому числі, оформлені актами Н-1, Н-5 у яких  </w:t>
            </w:r>
          </w:p>
        </w:tc>
        <w:tc>
          <w:tcPr>
            <w:tcW w:w="1452" w:type="dxa"/>
            <w:vMerge w:val="restart"/>
            <w:tcBorders>
              <w:top w:val="nil"/>
              <w:left w:val="single" w:sz="4" w:space="0" w:color="auto"/>
              <w:bottom w:val="single" w:sz="4" w:space="0" w:color="auto"/>
              <w:right w:val="single" w:sz="8" w:space="0" w:color="auto"/>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З них смертельних</w:t>
            </w:r>
          </w:p>
        </w:tc>
        <w:tc>
          <w:tcPr>
            <w:tcW w:w="752" w:type="dxa"/>
            <w:vMerge w:val="restart"/>
            <w:tcBorders>
              <w:top w:val="nil"/>
              <w:left w:val="nil"/>
              <w:bottom w:val="single" w:sz="4" w:space="0" w:color="auto"/>
              <w:right w:val="single" w:sz="4" w:space="0" w:color="auto"/>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Всього</w:t>
            </w:r>
          </w:p>
        </w:tc>
        <w:tc>
          <w:tcPr>
            <w:tcW w:w="1193" w:type="dxa"/>
            <w:vMerge w:val="restart"/>
            <w:tcBorders>
              <w:top w:val="nil"/>
              <w:left w:val="single" w:sz="4" w:space="0" w:color="auto"/>
              <w:bottom w:val="single" w:sz="4" w:space="0" w:color="auto"/>
              <w:right w:val="single" w:sz="8" w:space="0" w:color="auto"/>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З них смертельних</w:t>
            </w:r>
          </w:p>
        </w:tc>
        <w:tc>
          <w:tcPr>
            <w:tcW w:w="775" w:type="dxa"/>
            <w:vMerge w:val="restart"/>
            <w:tcBorders>
              <w:top w:val="nil"/>
              <w:left w:val="single" w:sz="8" w:space="0" w:color="auto"/>
              <w:bottom w:val="single" w:sz="4" w:space="0" w:color="auto"/>
              <w:right w:val="single" w:sz="4" w:space="0" w:color="auto"/>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Всього</w:t>
            </w:r>
          </w:p>
        </w:tc>
        <w:tc>
          <w:tcPr>
            <w:tcW w:w="1053" w:type="dxa"/>
            <w:vMerge w:val="restart"/>
            <w:tcBorders>
              <w:top w:val="nil"/>
              <w:left w:val="single" w:sz="4" w:space="0" w:color="auto"/>
              <w:bottom w:val="single" w:sz="4" w:space="0" w:color="auto"/>
              <w:right w:val="single" w:sz="8" w:space="0" w:color="auto"/>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Виявлених у звітному році</w:t>
            </w:r>
          </w:p>
        </w:tc>
        <w:tc>
          <w:tcPr>
            <w:tcW w:w="752" w:type="dxa"/>
            <w:vMerge w:val="restart"/>
            <w:tcBorders>
              <w:top w:val="nil"/>
              <w:left w:val="nil"/>
              <w:bottom w:val="single" w:sz="4" w:space="0" w:color="auto"/>
              <w:right w:val="single" w:sz="4" w:space="0" w:color="auto"/>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Всього</w:t>
            </w:r>
          </w:p>
        </w:tc>
        <w:tc>
          <w:tcPr>
            <w:tcW w:w="1193" w:type="dxa"/>
            <w:vMerge w:val="restart"/>
            <w:tcBorders>
              <w:top w:val="nil"/>
              <w:left w:val="single" w:sz="4" w:space="0" w:color="auto"/>
              <w:bottom w:val="single" w:sz="4" w:space="0" w:color="auto"/>
              <w:right w:val="single" w:sz="8" w:space="0" w:color="auto"/>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З них смертельних</w:t>
            </w:r>
          </w:p>
        </w:tc>
      </w:tr>
      <w:tr w:rsidR="000222DF" w:rsidRPr="00095B5E" w:rsidTr="00924B3D">
        <w:trPr>
          <w:trHeight w:val="1320"/>
        </w:trPr>
        <w:tc>
          <w:tcPr>
            <w:tcW w:w="436" w:type="dxa"/>
            <w:vMerge/>
            <w:tcBorders>
              <w:top w:val="single" w:sz="8" w:space="0" w:color="auto"/>
              <w:left w:val="single" w:sz="8" w:space="0" w:color="auto"/>
              <w:bottom w:val="single" w:sz="4" w:space="0" w:color="auto"/>
              <w:right w:val="single" w:sz="4" w:space="0" w:color="auto"/>
            </w:tcBorders>
            <w:vAlign w:val="center"/>
            <w:hideMark/>
          </w:tcPr>
          <w:p w:rsidR="000222DF" w:rsidRPr="00095B5E" w:rsidRDefault="000222DF" w:rsidP="00924B3D">
            <w:pPr>
              <w:rPr>
                <w:lang w:val="uk-UA" w:eastAsia="uk-UA"/>
              </w:rPr>
            </w:pPr>
          </w:p>
        </w:tc>
        <w:tc>
          <w:tcPr>
            <w:tcW w:w="2494" w:type="dxa"/>
            <w:vMerge/>
            <w:tcBorders>
              <w:top w:val="single" w:sz="8" w:space="0" w:color="auto"/>
              <w:left w:val="single" w:sz="4" w:space="0" w:color="auto"/>
              <w:bottom w:val="single" w:sz="4" w:space="0" w:color="auto"/>
              <w:right w:val="nil"/>
            </w:tcBorders>
            <w:vAlign w:val="center"/>
            <w:hideMark/>
          </w:tcPr>
          <w:p w:rsidR="000222DF" w:rsidRPr="00095B5E" w:rsidRDefault="000222DF" w:rsidP="00924B3D">
            <w:pPr>
              <w:rPr>
                <w:lang w:val="uk-UA" w:eastAsia="uk-UA"/>
              </w:rPr>
            </w:pPr>
          </w:p>
        </w:tc>
        <w:tc>
          <w:tcPr>
            <w:tcW w:w="831" w:type="dxa"/>
            <w:vMerge/>
            <w:tcBorders>
              <w:top w:val="nil"/>
              <w:left w:val="single" w:sz="8" w:space="0" w:color="auto"/>
              <w:bottom w:val="single" w:sz="4" w:space="0" w:color="auto"/>
              <w:right w:val="single" w:sz="4" w:space="0" w:color="auto"/>
            </w:tcBorders>
            <w:vAlign w:val="center"/>
            <w:hideMark/>
          </w:tcPr>
          <w:p w:rsidR="000222DF" w:rsidRPr="00095B5E" w:rsidRDefault="000222DF" w:rsidP="00924B3D">
            <w:pPr>
              <w:rPr>
                <w:lang w:val="uk-UA" w:eastAsia="uk-UA"/>
              </w:rPr>
            </w:pPr>
          </w:p>
        </w:tc>
        <w:tc>
          <w:tcPr>
            <w:tcW w:w="1182" w:type="dxa"/>
            <w:tcBorders>
              <w:top w:val="nil"/>
              <w:left w:val="nil"/>
              <w:bottom w:val="single" w:sz="4" w:space="0" w:color="auto"/>
              <w:right w:val="single" w:sz="4" w:space="0" w:color="auto"/>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встановлено вину роботодавця</w:t>
            </w:r>
          </w:p>
        </w:tc>
        <w:tc>
          <w:tcPr>
            <w:tcW w:w="1260" w:type="dxa"/>
            <w:tcBorders>
              <w:top w:val="nil"/>
              <w:left w:val="nil"/>
              <w:bottom w:val="single" w:sz="4" w:space="0" w:color="auto"/>
              <w:right w:val="single" w:sz="4" w:space="0" w:color="auto"/>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вина роботодавця відсутня</w:t>
            </w:r>
          </w:p>
        </w:tc>
        <w:tc>
          <w:tcPr>
            <w:tcW w:w="1452" w:type="dxa"/>
            <w:vMerge/>
            <w:tcBorders>
              <w:top w:val="nil"/>
              <w:left w:val="single" w:sz="4" w:space="0" w:color="auto"/>
              <w:bottom w:val="single" w:sz="4" w:space="0" w:color="auto"/>
              <w:right w:val="single" w:sz="8" w:space="0" w:color="auto"/>
            </w:tcBorders>
            <w:vAlign w:val="center"/>
            <w:hideMark/>
          </w:tcPr>
          <w:p w:rsidR="000222DF" w:rsidRPr="00095B5E" w:rsidRDefault="000222DF" w:rsidP="00924B3D">
            <w:pPr>
              <w:rPr>
                <w:lang w:val="uk-UA" w:eastAsia="uk-UA"/>
              </w:rPr>
            </w:pPr>
          </w:p>
        </w:tc>
        <w:tc>
          <w:tcPr>
            <w:tcW w:w="752" w:type="dxa"/>
            <w:vMerge/>
            <w:tcBorders>
              <w:top w:val="nil"/>
              <w:left w:val="nil"/>
              <w:bottom w:val="single" w:sz="4" w:space="0" w:color="auto"/>
              <w:right w:val="single" w:sz="4" w:space="0" w:color="auto"/>
            </w:tcBorders>
            <w:vAlign w:val="center"/>
            <w:hideMark/>
          </w:tcPr>
          <w:p w:rsidR="000222DF" w:rsidRPr="00095B5E" w:rsidRDefault="000222DF" w:rsidP="00924B3D">
            <w:pPr>
              <w:rPr>
                <w:lang w:val="uk-UA" w:eastAsia="uk-UA"/>
              </w:rPr>
            </w:pPr>
          </w:p>
        </w:tc>
        <w:tc>
          <w:tcPr>
            <w:tcW w:w="1193" w:type="dxa"/>
            <w:vMerge/>
            <w:tcBorders>
              <w:top w:val="nil"/>
              <w:left w:val="single" w:sz="4" w:space="0" w:color="auto"/>
              <w:bottom w:val="single" w:sz="4" w:space="0" w:color="auto"/>
              <w:right w:val="single" w:sz="8" w:space="0" w:color="auto"/>
            </w:tcBorders>
            <w:vAlign w:val="center"/>
            <w:hideMark/>
          </w:tcPr>
          <w:p w:rsidR="000222DF" w:rsidRPr="00095B5E" w:rsidRDefault="000222DF" w:rsidP="00924B3D">
            <w:pPr>
              <w:rPr>
                <w:lang w:val="uk-UA" w:eastAsia="uk-UA"/>
              </w:rPr>
            </w:pPr>
          </w:p>
        </w:tc>
        <w:tc>
          <w:tcPr>
            <w:tcW w:w="775" w:type="dxa"/>
            <w:vMerge/>
            <w:tcBorders>
              <w:top w:val="nil"/>
              <w:left w:val="single" w:sz="8" w:space="0" w:color="auto"/>
              <w:bottom w:val="single" w:sz="4" w:space="0" w:color="auto"/>
              <w:right w:val="single" w:sz="4" w:space="0" w:color="auto"/>
            </w:tcBorders>
            <w:vAlign w:val="center"/>
            <w:hideMark/>
          </w:tcPr>
          <w:p w:rsidR="000222DF" w:rsidRPr="00095B5E" w:rsidRDefault="000222DF" w:rsidP="00924B3D">
            <w:pPr>
              <w:rPr>
                <w:lang w:val="uk-UA" w:eastAsia="uk-UA"/>
              </w:rPr>
            </w:pPr>
          </w:p>
        </w:tc>
        <w:tc>
          <w:tcPr>
            <w:tcW w:w="1053" w:type="dxa"/>
            <w:vMerge/>
            <w:tcBorders>
              <w:top w:val="nil"/>
              <w:left w:val="single" w:sz="4" w:space="0" w:color="auto"/>
              <w:bottom w:val="single" w:sz="4" w:space="0" w:color="auto"/>
              <w:right w:val="single" w:sz="8" w:space="0" w:color="auto"/>
            </w:tcBorders>
            <w:vAlign w:val="center"/>
            <w:hideMark/>
          </w:tcPr>
          <w:p w:rsidR="000222DF" w:rsidRPr="00095B5E" w:rsidRDefault="000222DF" w:rsidP="00924B3D">
            <w:pPr>
              <w:rPr>
                <w:lang w:val="uk-UA" w:eastAsia="uk-UA"/>
              </w:rPr>
            </w:pPr>
          </w:p>
        </w:tc>
        <w:tc>
          <w:tcPr>
            <w:tcW w:w="752" w:type="dxa"/>
            <w:vMerge/>
            <w:tcBorders>
              <w:top w:val="nil"/>
              <w:left w:val="nil"/>
              <w:bottom w:val="single" w:sz="4" w:space="0" w:color="auto"/>
              <w:right w:val="single" w:sz="4" w:space="0" w:color="auto"/>
            </w:tcBorders>
            <w:vAlign w:val="center"/>
            <w:hideMark/>
          </w:tcPr>
          <w:p w:rsidR="000222DF" w:rsidRPr="00095B5E" w:rsidRDefault="000222DF" w:rsidP="00924B3D">
            <w:pPr>
              <w:rPr>
                <w:lang w:val="uk-UA" w:eastAsia="uk-UA"/>
              </w:rPr>
            </w:pPr>
          </w:p>
        </w:tc>
        <w:tc>
          <w:tcPr>
            <w:tcW w:w="1193" w:type="dxa"/>
            <w:vMerge/>
            <w:tcBorders>
              <w:top w:val="nil"/>
              <w:left w:val="single" w:sz="4" w:space="0" w:color="auto"/>
              <w:bottom w:val="single" w:sz="4" w:space="0" w:color="auto"/>
              <w:right w:val="single" w:sz="8" w:space="0" w:color="auto"/>
            </w:tcBorders>
            <w:vAlign w:val="center"/>
            <w:hideMark/>
          </w:tcPr>
          <w:p w:rsidR="000222DF" w:rsidRPr="00095B5E" w:rsidRDefault="000222DF" w:rsidP="00924B3D">
            <w:pPr>
              <w:rPr>
                <w:lang w:val="uk-UA" w:eastAsia="uk-UA"/>
              </w:rPr>
            </w:pPr>
          </w:p>
        </w:tc>
      </w:tr>
      <w:tr w:rsidR="000222DF" w:rsidRPr="00095B5E" w:rsidTr="00924B3D">
        <w:trPr>
          <w:trHeight w:val="345"/>
        </w:trPr>
        <w:tc>
          <w:tcPr>
            <w:tcW w:w="436" w:type="dxa"/>
            <w:tcBorders>
              <w:top w:val="nil"/>
              <w:left w:val="single" w:sz="8" w:space="0" w:color="auto"/>
              <w:bottom w:val="single" w:sz="8" w:space="0" w:color="auto"/>
              <w:right w:val="single" w:sz="4" w:space="0" w:color="auto"/>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1</w:t>
            </w:r>
          </w:p>
        </w:tc>
        <w:tc>
          <w:tcPr>
            <w:tcW w:w="2494" w:type="dxa"/>
            <w:tcBorders>
              <w:top w:val="nil"/>
              <w:left w:val="nil"/>
              <w:bottom w:val="single" w:sz="8" w:space="0" w:color="auto"/>
              <w:right w:val="nil"/>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2</w:t>
            </w:r>
          </w:p>
        </w:tc>
        <w:tc>
          <w:tcPr>
            <w:tcW w:w="831" w:type="dxa"/>
            <w:tcBorders>
              <w:top w:val="nil"/>
              <w:left w:val="single" w:sz="8" w:space="0" w:color="auto"/>
              <w:bottom w:val="single" w:sz="8" w:space="0" w:color="auto"/>
              <w:right w:val="single" w:sz="4" w:space="0" w:color="auto"/>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3</w:t>
            </w:r>
          </w:p>
        </w:tc>
        <w:tc>
          <w:tcPr>
            <w:tcW w:w="1182" w:type="dxa"/>
            <w:tcBorders>
              <w:top w:val="nil"/>
              <w:left w:val="nil"/>
              <w:bottom w:val="single" w:sz="8" w:space="0" w:color="auto"/>
              <w:right w:val="single" w:sz="4" w:space="0" w:color="auto"/>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4</w:t>
            </w:r>
          </w:p>
        </w:tc>
        <w:tc>
          <w:tcPr>
            <w:tcW w:w="1260" w:type="dxa"/>
            <w:tcBorders>
              <w:top w:val="nil"/>
              <w:left w:val="nil"/>
              <w:bottom w:val="single" w:sz="8" w:space="0" w:color="auto"/>
              <w:right w:val="single" w:sz="4" w:space="0" w:color="auto"/>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5</w:t>
            </w:r>
          </w:p>
        </w:tc>
        <w:tc>
          <w:tcPr>
            <w:tcW w:w="1452" w:type="dxa"/>
            <w:tcBorders>
              <w:top w:val="nil"/>
              <w:left w:val="nil"/>
              <w:bottom w:val="single" w:sz="8" w:space="0" w:color="auto"/>
              <w:right w:val="single" w:sz="8" w:space="0" w:color="auto"/>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6</w:t>
            </w:r>
          </w:p>
        </w:tc>
        <w:tc>
          <w:tcPr>
            <w:tcW w:w="752" w:type="dxa"/>
            <w:tcBorders>
              <w:top w:val="nil"/>
              <w:left w:val="nil"/>
              <w:bottom w:val="single" w:sz="8" w:space="0" w:color="auto"/>
              <w:right w:val="single" w:sz="4" w:space="0" w:color="auto"/>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7</w:t>
            </w:r>
          </w:p>
        </w:tc>
        <w:tc>
          <w:tcPr>
            <w:tcW w:w="1193" w:type="dxa"/>
            <w:tcBorders>
              <w:top w:val="nil"/>
              <w:left w:val="nil"/>
              <w:bottom w:val="single" w:sz="8" w:space="0" w:color="auto"/>
              <w:right w:val="nil"/>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8</w:t>
            </w:r>
          </w:p>
        </w:tc>
        <w:tc>
          <w:tcPr>
            <w:tcW w:w="775" w:type="dxa"/>
            <w:tcBorders>
              <w:top w:val="nil"/>
              <w:left w:val="single" w:sz="8" w:space="0" w:color="auto"/>
              <w:bottom w:val="single" w:sz="8" w:space="0" w:color="auto"/>
              <w:right w:val="single" w:sz="4" w:space="0" w:color="auto"/>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9</w:t>
            </w:r>
          </w:p>
        </w:tc>
        <w:tc>
          <w:tcPr>
            <w:tcW w:w="1053" w:type="dxa"/>
            <w:tcBorders>
              <w:top w:val="nil"/>
              <w:left w:val="nil"/>
              <w:bottom w:val="single" w:sz="8" w:space="0" w:color="auto"/>
              <w:right w:val="single" w:sz="8" w:space="0" w:color="auto"/>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10</w:t>
            </w:r>
          </w:p>
        </w:tc>
        <w:tc>
          <w:tcPr>
            <w:tcW w:w="752" w:type="dxa"/>
            <w:tcBorders>
              <w:top w:val="nil"/>
              <w:left w:val="nil"/>
              <w:bottom w:val="single" w:sz="8" w:space="0" w:color="auto"/>
              <w:right w:val="single" w:sz="4" w:space="0" w:color="auto"/>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11</w:t>
            </w:r>
          </w:p>
        </w:tc>
        <w:tc>
          <w:tcPr>
            <w:tcW w:w="1193" w:type="dxa"/>
            <w:tcBorders>
              <w:top w:val="nil"/>
              <w:left w:val="nil"/>
              <w:bottom w:val="single" w:sz="8" w:space="0" w:color="auto"/>
              <w:right w:val="single" w:sz="8" w:space="0" w:color="auto"/>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12</w:t>
            </w:r>
          </w:p>
        </w:tc>
      </w:tr>
      <w:tr w:rsidR="000222DF" w:rsidRPr="00095B5E" w:rsidTr="00924B3D">
        <w:trPr>
          <w:trHeight w:val="255"/>
        </w:trPr>
        <w:tc>
          <w:tcPr>
            <w:tcW w:w="43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1</w:t>
            </w:r>
          </w:p>
        </w:tc>
        <w:tc>
          <w:tcPr>
            <w:tcW w:w="2494" w:type="dxa"/>
            <w:tcBorders>
              <w:top w:val="nil"/>
              <w:left w:val="nil"/>
              <w:bottom w:val="single" w:sz="4" w:space="0" w:color="auto"/>
              <w:right w:val="single" w:sz="4" w:space="0" w:color="auto"/>
            </w:tcBorders>
            <w:shd w:val="clear" w:color="auto" w:fill="auto"/>
            <w:vAlign w:val="center"/>
            <w:hideMark/>
          </w:tcPr>
          <w:p w:rsidR="000222DF" w:rsidRPr="00095B5E" w:rsidRDefault="000222DF" w:rsidP="00924B3D">
            <w:pPr>
              <w:rPr>
                <w:lang w:val="uk-UA" w:eastAsia="uk-UA"/>
              </w:rPr>
            </w:pPr>
            <w:r w:rsidRPr="00095B5E">
              <w:rPr>
                <w:lang w:val="uk-UA" w:eastAsia="uk-UA"/>
              </w:rPr>
              <w:t>Управління Товариства</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r>
      <w:tr w:rsidR="000222DF" w:rsidRPr="00095B5E" w:rsidTr="00924B3D">
        <w:trPr>
          <w:trHeight w:val="255"/>
        </w:trPr>
        <w:tc>
          <w:tcPr>
            <w:tcW w:w="436" w:type="dxa"/>
            <w:tcBorders>
              <w:top w:val="nil"/>
              <w:left w:val="single" w:sz="8" w:space="0" w:color="auto"/>
              <w:bottom w:val="single" w:sz="4" w:space="0" w:color="auto"/>
              <w:right w:val="single" w:sz="4" w:space="0" w:color="auto"/>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2</w:t>
            </w:r>
          </w:p>
        </w:tc>
        <w:tc>
          <w:tcPr>
            <w:tcW w:w="2494" w:type="dxa"/>
            <w:tcBorders>
              <w:top w:val="nil"/>
              <w:left w:val="nil"/>
              <w:bottom w:val="single" w:sz="4" w:space="0" w:color="auto"/>
              <w:right w:val="single" w:sz="4" w:space="0" w:color="auto"/>
            </w:tcBorders>
            <w:shd w:val="clear" w:color="auto" w:fill="auto"/>
            <w:vAlign w:val="center"/>
            <w:hideMark/>
          </w:tcPr>
          <w:p w:rsidR="000222DF" w:rsidRPr="00095B5E" w:rsidRDefault="000222DF" w:rsidP="00924B3D">
            <w:pPr>
              <w:rPr>
                <w:lang w:val="uk-UA" w:eastAsia="uk-UA"/>
              </w:rPr>
            </w:pPr>
            <w:r w:rsidRPr="00095B5E">
              <w:rPr>
                <w:lang w:val="uk-UA" w:eastAsia="uk-UA"/>
              </w:rPr>
              <w:t>Каскад Київських ГЕС і ГАЕС</w:t>
            </w:r>
          </w:p>
        </w:tc>
        <w:tc>
          <w:tcPr>
            <w:tcW w:w="831"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182"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260"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452"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752"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1</w:t>
            </w:r>
          </w:p>
        </w:tc>
        <w:tc>
          <w:tcPr>
            <w:tcW w:w="1193"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775"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053"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752"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193"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r>
      <w:tr w:rsidR="000222DF" w:rsidRPr="00095B5E" w:rsidTr="00924B3D">
        <w:trPr>
          <w:trHeight w:val="255"/>
        </w:trPr>
        <w:tc>
          <w:tcPr>
            <w:tcW w:w="436" w:type="dxa"/>
            <w:tcBorders>
              <w:top w:val="nil"/>
              <w:left w:val="single" w:sz="8" w:space="0" w:color="auto"/>
              <w:bottom w:val="single" w:sz="4" w:space="0" w:color="auto"/>
              <w:right w:val="single" w:sz="4" w:space="0" w:color="auto"/>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3</w:t>
            </w:r>
          </w:p>
        </w:tc>
        <w:tc>
          <w:tcPr>
            <w:tcW w:w="2494" w:type="dxa"/>
            <w:tcBorders>
              <w:top w:val="nil"/>
              <w:left w:val="nil"/>
              <w:bottom w:val="single" w:sz="4" w:space="0" w:color="auto"/>
              <w:right w:val="single" w:sz="4" w:space="0" w:color="auto"/>
            </w:tcBorders>
            <w:shd w:val="clear" w:color="auto" w:fill="auto"/>
            <w:vAlign w:val="center"/>
            <w:hideMark/>
          </w:tcPr>
          <w:p w:rsidR="000222DF" w:rsidRPr="00095B5E" w:rsidRDefault="000222DF" w:rsidP="00924B3D">
            <w:pPr>
              <w:rPr>
                <w:lang w:val="uk-UA" w:eastAsia="uk-UA"/>
              </w:rPr>
            </w:pPr>
            <w:r w:rsidRPr="00095B5E">
              <w:rPr>
                <w:lang w:val="uk-UA" w:eastAsia="uk-UA"/>
              </w:rPr>
              <w:t>Канівська ГЕС</w:t>
            </w:r>
          </w:p>
        </w:tc>
        <w:tc>
          <w:tcPr>
            <w:tcW w:w="831"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182"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260"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452"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752"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193"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775"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053"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752"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193"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r>
      <w:tr w:rsidR="000222DF" w:rsidRPr="00095B5E" w:rsidTr="00924B3D">
        <w:trPr>
          <w:trHeight w:val="255"/>
        </w:trPr>
        <w:tc>
          <w:tcPr>
            <w:tcW w:w="436" w:type="dxa"/>
            <w:tcBorders>
              <w:top w:val="nil"/>
              <w:left w:val="single" w:sz="8" w:space="0" w:color="auto"/>
              <w:bottom w:val="single" w:sz="4" w:space="0" w:color="auto"/>
              <w:right w:val="single" w:sz="4" w:space="0" w:color="auto"/>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4</w:t>
            </w:r>
          </w:p>
        </w:tc>
        <w:tc>
          <w:tcPr>
            <w:tcW w:w="2494" w:type="dxa"/>
            <w:tcBorders>
              <w:top w:val="nil"/>
              <w:left w:val="nil"/>
              <w:bottom w:val="single" w:sz="4" w:space="0" w:color="auto"/>
              <w:right w:val="single" w:sz="4" w:space="0" w:color="auto"/>
            </w:tcBorders>
            <w:shd w:val="clear" w:color="auto" w:fill="auto"/>
            <w:vAlign w:val="center"/>
            <w:hideMark/>
          </w:tcPr>
          <w:p w:rsidR="000222DF" w:rsidRPr="00095B5E" w:rsidRDefault="000222DF" w:rsidP="00924B3D">
            <w:pPr>
              <w:rPr>
                <w:lang w:val="uk-UA" w:eastAsia="uk-UA"/>
              </w:rPr>
            </w:pPr>
            <w:r w:rsidRPr="00095B5E">
              <w:rPr>
                <w:lang w:val="uk-UA" w:eastAsia="uk-UA"/>
              </w:rPr>
              <w:t>Кременчуцька ГЕС</w:t>
            </w:r>
          </w:p>
        </w:tc>
        <w:tc>
          <w:tcPr>
            <w:tcW w:w="831"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182"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260"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452"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752"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193"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775"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053"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752"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193"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r>
      <w:tr w:rsidR="000222DF" w:rsidRPr="00095B5E" w:rsidTr="00924B3D">
        <w:trPr>
          <w:trHeight w:val="255"/>
        </w:trPr>
        <w:tc>
          <w:tcPr>
            <w:tcW w:w="436" w:type="dxa"/>
            <w:tcBorders>
              <w:top w:val="nil"/>
              <w:left w:val="single" w:sz="8" w:space="0" w:color="auto"/>
              <w:bottom w:val="single" w:sz="4" w:space="0" w:color="auto"/>
              <w:right w:val="single" w:sz="4" w:space="0" w:color="auto"/>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5</w:t>
            </w:r>
          </w:p>
        </w:tc>
        <w:tc>
          <w:tcPr>
            <w:tcW w:w="2494" w:type="dxa"/>
            <w:tcBorders>
              <w:top w:val="nil"/>
              <w:left w:val="nil"/>
              <w:bottom w:val="single" w:sz="4" w:space="0" w:color="auto"/>
              <w:right w:val="single" w:sz="4" w:space="0" w:color="auto"/>
            </w:tcBorders>
            <w:shd w:val="clear" w:color="auto" w:fill="auto"/>
            <w:vAlign w:val="center"/>
            <w:hideMark/>
          </w:tcPr>
          <w:p w:rsidR="000222DF" w:rsidRPr="00095B5E" w:rsidRDefault="000222DF" w:rsidP="00924B3D">
            <w:pPr>
              <w:rPr>
                <w:lang w:val="uk-UA" w:eastAsia="uk-UA"/>
              </w:rPr>
            </w:pPr>
            <w:r w:rsidRPr="00095B5E">
              <w:rPr>
                <w:lang w:val="uk-UA" w:eastAsia="uk-UA"/>
              </w:rPr>
              <w:t>Середньодніпровська ГЕС</w:t>
            </w:r>
          </w:p>
        </w:tc>
        <w:tc>
          <w:tcPr>
            <w:tcW w:w="831"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182"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260"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452"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752"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193"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775"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053"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752"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193"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r>
      <w:tr w:rsidR="000222DF" w:rsidRPr="00095B5E" w:rsidTr="00924B3D">
        <w:trPr>
          <w:trHeight w:val="255"/>
        </w:trPr>
        <w:tc>
          <w:tcPr>
            <w:tcW w:w="436" w:type="dxa"/>
            <w:tcBorders>
              <w:top w:val="nil"/>
              <w:left w:val="single" w:sz="8" w:space="0" w:color="auto"/>
              <w:bottom w:val="single" w:sz="4" w:space="0" w:color="auto"/>
              <w:right w:val="single" w:sz="4" w:space="0" w:color="auto"/>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6</w:t>
            </w:r>
          </w:p>
        </w:tc>
        <w:tc>
          <w:tcPr>
            <w:tcW w:w="2494" w:type="dxa"/>
            <w:tcBorders>
              <w:top w:val="nil"/>
              <w:left w:val="nil"/>
              <w:bottom w:val="single" w:sz="4" w:space="0" w:color="auto"/>
              <w:right w:val="single" w:sz="4" w:space="0" w:color="auto"/>
            </w:tcBorders>
            <w:shd w:val="clear" w:color="auto" w:fill="auto"/>
            <w:vAlign w:val="center"/>
            <w:hideMark/>
          </w:tcPr>
          <w:p w:rsidR="000222DF" w:rsidRPr="00095B5E" w:rsidRDefault="000222DF" w:rsidP="00924B3D">
            <w:pPr>
              <w:rPr>
                <w:lang w:val="uk-UA" w:eastAsia="uk-UA"/>
              </w:rPr>
            </w:pPr>
            <w:r w:rsidRPr="00095B5E">
              <w:rPr>
                <w:lang w:val="uk-UA" w:eastAsia="uk-UA"/>
              </w:rPr>
              <w:t>Дніпровська ГЕС</w:t>
            </w:r>
          </w:p>
        </w:tc>
        <w:tc>
          <w:tcPr>
            <w:tcW w:w="831"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1</w:t>
            </w:r>
          </w:p>
        </w:tc>
        <w:tc>
          <w:tcPr>
            <w:tcW w:w="1182"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260"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1</w:t>
            </w:r>
          </w:p>
        </w:tc>
        <w:tc>
          <w:tcPr>
            <w:tcW w:w="1452"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752"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1</w:t>
            </w:r>
          </w:p>
        </w:tc>
        <w:tc>
          <w:tcPr>
            <w:tcW w:w="1193"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775"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053"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752"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193"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r>
      <w:tr w:rsidR="000222DF" w:rsidRPr="00095B5E" w:rsidTr="00924B3D">
        <w:trPr>
          <w:trHeight w:val="255"/>
        </w:trPr>
        <w:tc>
          <w:tcPr>
            <w:tcW w:w="436" w:type="dxa"/>
            <w:tcBorders>
              <w:top w:val="nil"/>
              <w:left w:val="single" w:sz="8" w:space="0" w:color="auto"/>
              <w:bottom w:val="single" w:sz="4" w:space="0" w:color="auto"/>
              <w:right w:val="single" w:sz="4" w:space="0" w:color="auto"/>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7</w:t>
            </w:r>
          </w:p>
        </w:tc>
        <w:tc>
          <w:tcPr>
            <w:tcW w:w="2494" w:type="dxa"/>
            <w:tcBorders>
              <w:top w:val="nil"/>
              <w:left w:val="nil"/>
              <w:bottom w:val="single" w:sz="4" w:space="0" w:color="auto"/>
              <w:right w:val="single" w:sz="4" w:space="0" w:color="auto"/>
            </w:tcBorders>
            <w:shd w:val="clear" w:color="auto" w:fill="auto"/>
            <w:vAlign w:val="center"/>
            <w:hideMark/>
          </w:tcPr>
          <w:p w:rsidR="000222DF" w:rsidRPr="00095B5E" w:rsidRDefault="000222DF" w:rsidP="00924B3D">
            <w:pPr>
              <w:rPr>
                <w:lang w:val="uk-UA" w:eastAsia="uk-UA"/>
              </w:rPr>
            </w:pPr>
            <w:r w:rsidRPr="00095B5E">
              <w:rPr>
                <w:lang w:val="uk-UA" w:eastAsia="uk-UA"/>
              </w:rPr>
              <w:t>Каховська ГЕС</w:t>
            </w:r>
          </w:p>
        </w:tc>
        <w:tc>
          <w:tcPr>
            <w:tcW w:w="831"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182"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260"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452"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752"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193"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775"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053"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752"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193"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r>
      <w:tr w:rsidR="000222DF" w:rsidRPr="00095B5E" w:rsidTr="00924B3D">
        <w:trPr>
          <w:trHeight w:val="255"/>
        </w:trPr>
        <w:tc>
          <w:tcPr>
            <w:tcW w:w="436" w:type="dxa"/>
            <w:tcBorders>
              <w:top w:val="nil"/>
              <w:left w:val="single" w:sz="8" w:space="0" w:color="auto"/>
              <w:bottom w:val="single" w:sz="4" w:space="0" w:color="auto"/>
              <w:right w:val="single" w:sz="4" w:space="0" w:color="auto"/>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8</w:t>
            </w:r>
          </w:p>
        </w:tc>
        <w:tc>
          <w:tcPr>
            <w:tcW w:w="2494" w:type="dxa"/>
            <w:tcBorders>
              <w:top w:val="nil"/>
              <w:left w:val="nil"/>
              <w:bottom w:val="single" w:sz="4" w:space="0" w:color="auto"/>
              <w:right w:val="single" w:sz="4" w:space="0" w:color="auto"/>
            </w:tcBorders>
            <w:shd w:val="clear" w:color="auto" w:fill="auto"/>
            <w:vAlign w:val="center"/>
            <w:hideMark/>
          </w:tcPr>
          <w:p w:rsidR="000222DF" w:rsidRPr="00095B5E" w:rsidRDefault="000222DF" w:rsidP="00924B3D">
            <w:pPr>
              <w:rPr>
                <w:lang w:val="uk-UA" w:eastAsia="uk-UA"/>
              </w:rPr>
            </w:pPr>
            <w:r w:rsidRPr="00095B5E">
              <w:rPr>
                <w:lang w:val="uk-UA" w:eastAsia="uk-UA"/>
              </w:rPr>
              <w:t>Дністровська ГЕС</w:t>
            </w:r>
          </w:p>
        </w:tc>
        <w:tc>
          <w:tcPr>
            <w:tcW w:w="831"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182"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260"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452"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752"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193"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775"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053"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752"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193"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r>
      <w:tr w:rsidR="000222DF" w:rsidRPr="00095B5E" w:rsidTr="00924B3D">
        <w:trPr>
          <w:trHeight w:val="480"/>
        </w:trPr>
        <w:tc>
          <w:tcPr>
            <w:tcW w:w="436" w:type="dxa"/>
            <w:tcBorders>
              <w:top w:val="nil"/>
              <w:left w:val="single" w:sz="8" w:space="0" w:color="auto"/>
              <w:bottom w:val="nil"/>
              <w:right w:val="single" w:sz="4" w:space="0" w:color="auto"/>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9</w:t>
            </w:r>
          </w:p>
        </w:tc>
        <w:tc>
          <w:tcPr>
            <w:tcW w:w="2494" w:type="dxa"/>
            <w:tcBorders>
              <w:top w:val="nil"/>
              <w:left w:val="nil"/>
              <w:bottom w:val="nil"/>
              <w:right w:val="single" w:sz="4" w:space="0" w:color="auto"/>
            </w:tcBorders>
            <w:shd w:val="clear" w:color="auto" w:fill="auto"/>
            <w:vAlign w:val="center"/>
            <w:hideMark/>
          </w:tcPr>
          <w:p w:rsidR="000222DF" w:rsidRPr="00095B5E" w:rsidRDefault="000222DF" w:rsidP="00924B3D">
            <w:pPr>
              <w:rPr>
                <w:lang w:val="uk-UA" w:eastAsia="uk-UA"/>
              </w:rPr>
            </w:pPr>
            <w:r w:rsidRPr="00095B5E">
              <w:rPr>
                <w:lang w:val="uk-UA" w:eastAsia="uk-UA"/>
              </w:rPr>
              <w:t>Дирекція з будівництва Дністровської ГАЕС</w:t>
            </w:r>
          </w:p>
        </w:tc>
        <w:tc>
          <w:tcPr>
            <w:tcW w:w="831"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182"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260"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452"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752"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193"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775"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053"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752"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193" w:type="dxa"/>
            <w:tcBorders>
              <w:top w:val="nil"/>
              <w:left w:val="nil"/>
              <w:bottom w:val="single" w:sz="4"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r>
      <w:tr w:rsidR="000222DF" w:rsidRPr="00095B5E" w:rsidTr="00924B3D">
        <w:trPr>
          <w:trHeight w:val="270"/>
        </w:trPr>
        <w:tc>
          <w:tcPr>
            <w:tcW w:w="293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0222DF" w:rsidRPr="00095B5E" w:rsidRDefault="000222DF" w:rsidP="00924B3D">
            <w:pPr>
              <w:jc w:val="center"/>
              <w:rPr>
                <w:lang w:val="uk-UA" w:eastAsia="uk-UA"/>
              </w:rPr>
            </w:pPr>
            <w:r w:rsidRPr="00095B5E">
              <w:rPr>
                <w:lang w:val="uk-UA" w:eastAsia="uk-UA"/>
              </w:rPr>
              <w:t>ПрАТ «</w:t>
            </w:r>
            <w:proofErr w:type="spellStart"/>
            <w:r w:rsidRPr="00095B5E">
              <w:rPr>
                <w:lang w:val="uk-UA" w:eastAsia="uk-UA"/>
              </w:rPr>
              <w:t>Укргідроенерго</w:t>
            </w:r>
            <w:proofErr w:type="spellEnd"/>
            <w:r w:rsidRPr="00095B5E">
              <w:rPr>
                <w:lang w:val="uk-UA" w:eastAsia="uk-UA"/>
              </w:rPr>
              <w:t>»</w:t>
            </w:r>
          </w:p>
        </w:tc>
        <w:tc>
          <w:tcPr>
            <w:tcW w:w="831" w:type="dxa"/>
            <w:tcBorders>
              <w:top w:val="single" w:sz="8" w:space="0" w:color="auto"/>
              <w:left w:val="nil"/>
              <w:bottom w:val="single" w:sz="8"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1</w:t>
            </w:r>
          </w:p>
        </w:tc>
        <w:tc>
          <w:tcPr>
            <w:tcW w:w="1182" w:type="dxa"/>
            <w:tcBorders>
              <w:top w:val="single" w:sz="8" w:space="0" w:color="auto"/>
              <w:left w:val="nil"/>
              <w:bottom w:val="single" w:sz="8"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1</w:t>
            </w:r>
          </w:p>
        </w:tc>
        <w:tc>
          <w:tcPr>
            <w:tcW w:w="1452" w:type="dxa"/>
            <w:tcBorders>
              <w:top w:val="single" w:sz="8" w:space="0" w:color="auto"/>
              <w:left w:val="nil"/>
              <w:bottom w:val="single" w:sz="8"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752" w:type="dxa"/>
            <w:tcBorders>
              <w:top w:val="single" w:sz="8" w:space="0" w:color="auto"/>
              <w:left w:val="nil"/>
              <w:bottom w:val="single" w:sz="8"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2</w:t>
            </w:r>
          </w:p>
        </w:tc>
        <w:tc>
          <w:tcPr>
            <w:tcW w:w="1193" w:type="dxa"/>
            <w:tcBorders>
              <w:top w:val="single" w:sz="8" w:space="0" w:color="auto"/>
              <w:left w:val="nil"/>
              <w:bottom w:val="single" w:sz="8"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775" w:type="dxa"/>
            <w:tcBorders>
              <w:top w:val="single" w:sz="8" w:space="0" w:color="auto"/>
              <w:left w:val="nil"/>
              <w:bottom w:val="single" w:sz="8"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053" w:type="dxa"/>
            <w:tcBorders>
              <w:top w:val="single" w:sz="8" w:space="0" w:color="auto"/>
              <w:left w:val="nil"/>
              <w:bottom w:val="single" w:sz="8"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752" w:type="dxa"/>
            <w:tcBorders>
              <w:top w:val="single" w:sz="8" w:space="0" w:color="auto"/>
              <w:left w:val="nil"/>
              <w:bottom w:val="single" w:sz="8" w:space="0" w:color="auto"/>
              <w:right w:val="single" w:sz="4"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c>
          <w:tcPr>
            <w:tcW w:w="1193" w:type="dxa"/>
            <w:tcBorders>
              <w:top w:val="single" w:sz="8" w:space="0" w:color="auto"/>
              <w:left w:val="nil"/>
              <w:bottom w:val="single" w:sz="8" w:space="0" w:color="auto"/>
              <w:right w:val="single" w:sz="8" w:space="0" w:color="auto"/>
            </w:tcBorders>
            <w:shd w:val="clear" w:color="auto" w:fill="auto"/>
            <w:noWrap/>
            <w:vAlign w:val="bottom"/>
            <w:hideMark/>
          </w:tcPr>
          <w:p w:rsidR="000222DF" w:rsidRPr="00095B5E" w:rsidRDefault="000222DF" w:rsidP="00924B3D">
            <w:pPr>
              <w:jc w:val="center"/>
              <w:rPr>
                <w:lang w:val="uk-UA" w:eastAsia="uk-UA"/>
              </w:rPr>
            </w:pPr>
            <w:r w:rsidRPr="00095B5E">
              <w:rPr>
                <w:lang w:val="uk-UA" w:eastAsia="uk-UA"/>
              </w:rPr>
              <w:t>0</w:t>
            </w:r>
          </w:p>
        </w:tc>
      </w:tr>
    </w:tbl>
    <w:p w:rsidR="00902206" w:rsidRDefault="00902206">
      <w:bookmarkStart w:id="0" w:name="_GoBack"/>
      <w:bookmarkEnd w:id="0"/>
    </w:p>
    <w:sectPr w:rsidR="00902206" w:rsidSect="00033A31">
      <w:pgSz w:w="16840" w:h="11907" w:orient="landscape" w:code="9"/>
      <w:pgMar w:top="1985" w:right="851" w:bottom="567" w:left="99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DF"/>
    <w:rsid w:val="000222DF"/>
    <w:rsid w:val="009022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6DCC7-F125-4421-A7EF-01EB5824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ind w:left="709" w:hanging="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2DF"/>
    <w:pPr>
      <w:ind w:left="0" w:firstLine="0"/>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0222DF"/>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22DF"/>
    <w:rPr>
      <w:rFonts w:ascii="Times New Roman" w:eastAsia="Times New Roman" w:hAnsi="Times New Roman" w:cs="Times New Roman"/>
      <w:b/>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3982</Words>
  <Characters>2270</Characters>
  <Application>Microsoft Office Word</Application>
  <DocSecurity>0</DocSecurity>
  <Lines>18</Lines>
  <Paragraphs>12</Paragraphs>
  <ScaleCrop>false</ScaleCrop>
  <Company/>
  <LinksUpToDate>false</LinksUpToDate>
  <CharactersWithSpaces>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Нина</dc:creator>
  <cp:keywords/>
  <dc:description/>
  <cp:lastModifiedBy>Полищук Нина</cp:lastModifiedBy>
  <cp:revision>1</cp:revision>
  <dcterms:created xsi:type="dcterms:W3CDTF">2019-03-19T14:35:00Z</dcterms:created>
  <dcterms:modified xsi:type="dcterms:W3CDTF">2019-03-19T14:35:00Z</dcterms:modified>
</cp:coreProperties>
</file>