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A9" w:rsidRPr="00E03EA9" w:rsidRDefault="00E03EA9" w:rsidP="00E03EA9">
      <w:pPr>
        <w:keepNext/>
        <w:jc w:val="center"/>
        <w:outlineLvl w:val="1"/>
        <w:rPr>
          <w:b/>
          <w:sz w:val="28"/>
          <w:szCs w:val="28"/>
          <w:lang w:val="ru-RU"/>
        </w:rPr>
      </w:pPr>
      <w:proofErr w:type="spellStart"/>
      <w:r w:rsidRPr="00E03EA9">
        <w:rPr>
          <w:b/>
          <w:sz w:val="28"/>
          <w:szCs w:val="28"/>
          <w:lang w:val="ru-RU"/>
        </w:rPr>
        <w:t>Узагальнена</w:t>
      </w:r>
      <w:proofErr w:type="spellEnd"/>
      <w:r w:rsidRPr="00E03EA9">
        <w:rPr>
          <w:b/>
          <w:sz w:val="28"/>
          <w:szCs w:val="28"/>
          <w:lang w:val="ru-RU"/>
        </w:rPr>
        <w:t xml:space="preserve"> </w:t>
      </w:r>
      <w:proofErr w:type="spellStart"/>
      <w:r w:rsidRPr="00E03EA9">
        <w:rPr>
          <w:b/>
          <w:sz w:val="28"/>
          <w:szCs w:val="28"/>
          <w:lang w:val="ru-RU"/>
        </w:rPr>
        <w:t>аналітична</w:t>
      </w:r>
      <w:proofErr w:type="spellEnd"/>
      <w:r w:rsidRPr="00E03EA9">
        <w:rPr>
          <w:b/>
          <w:sz w:val="28"/>
          <w:szCs w:val="28"/>
          <w:lang w:val="ru-RU"/>
        </w:rPr>
        <w:t xml:space="preserve"> </w:t>
      </w:r>
      <w:proofErr w:type="spellStart"/>
      <w:r w:rsidRPr="00E03EA9">
        <w:rPr>
          <w:b/>
          <w:sz w:val="28"/>
          <w:szCs w:val="28"/>
          <w:lang w:val="ru-RU"/>
        </w:rPr>
        <w:t>інформація</w:t>
      </w:r>
      <w:proofErr w:type="spellEnd"/>
      <w:r w:rsidRPr="00E03EA9">
        <w:rPr>
          <w:b/>
          <w:sz w:val="28"/>
          <w:szCs w:val="28"/>
          <w:lang w:val="ru-RU"/>
        </w:rPr>
        <w:t xml:space="preserve"> </w:t>
      </w:r>
    </w:p>
    <w:p w:rsidR="00E03EA9" w:rsidRPr="00E03EA9" w:rsidRDefault="00E03EA9" w:rsidP="00E03EA9">
      <w:pPr>
        <w:keepNext/>
        <w:jc w:val="center"/>
        <w:outlineLvl w:val="1"/>
        <w:rPr>
          <w:b/>
          <w:sz w:val="28"/>
          <w:szCs w:val="28"/>
          <w:lang w:val="ru-RU"/>
        </w:rPr>
      </w:pPr>
      <w:r w:rsidRPr="00E03EA9">
        <w:rPr>
          <w:b/>
          <w:sz w:val="28"/>
          <w:szCs w:val="28"/>
          <w:lang w:val="ru-RU"/>
        </w:rPr>
        <w:t xml:space="preserve">на </w:t>
      </w:r>
      <w:proofErr w:type="spellStart"/>
      <w:r w:rsidRPr="00E03EA9">
        <w:rPr>
          <w:b/>
          <w:sz w:val="28"/>
          <w:szCs w:val="28"/>
          <w:lang w:val="ru-RU"/>
        </w:rPr>
        <w:t>підставі</w:t>
      </w:r>
      <w:proofErr w:type="spellEnd"/>
      <w:r w:rsidRPr="00E03EA9">
        <w:rPr>
          <w:b/>
          <w:sz w:val="28"/>
          <w:szCs w:val="28"/>
          <w:lang w:val="ru-RU"/>
        </w:rPr>
        <w:t xml:space="preserve"> </w:t>
      </w:r>
      <w:proofErr w:type="spellStart"/>
      <w:r w:rsidRPr="00E03EA9">
        <w:rPr>
          <w:b/>
          <w:sz w:val="28"/>
          <w:szCs w:val="28"/>
          <w:lang w:val="ru-RU"/>
        </w:rPr>
        <w:t>річних</w:t>
      </w:r>
      <w:proofErr w:type="spellEnd"/>
      <w:r w:rsidRPr="00E03EA9">
        <w:rPr>
          <w:b/>
          <w:sz w:val="28"/>
          <w:szCs w:val="28"/>
          <w:lang w:val="ru-RU"/>
        </w:rPr>
        <w:t xml:space="preserve"> </w:t>
      </w:r>
      <w:proofErr w:type="spellStart"/>
      <w:r w:rsidRPr="00E03EA9">
        <w:rPr>
          <w:b/>
          <w:sz w:val="28"/>
          <w:szCs w:val="28"/>
          <w:lang w:val="ru-RU"/>
        </w:rPr>
        <w:t>звітів</w:t>
      </w:r>
      <w:proofErr w:type="spellEnd"/>
      <w:r w:rsidRPr="00E03EA9">
        <w:rPr>
          <w:b/>
          <w:sz w:val="28"/>
          <w:szCs w:val="28"/>
          <w:lang w:val="ru-RU"/>
        </w:rPr>
        <w:t xml:space="preserve"> </w:t>
      </w:r>
      <w:proofErr w:type="spellStart"/>
      <w:r w:rsidRPr="00E03EA9">
        <w:rPr>
          <w:b/>
          <w:sz w:val="28"/>
          <w:szCs w:val="28"/>
          <w:lang w:val="ru-RU"/>
        </w:rPr>
        <w:t>підприємств</w:t>
      </w:r>
      <w:proofErr w:type="spellEnd"/>
      <w:r w:rsidRPr="00E03EA9">
        <w:rPr>
          <w:b/>
          <w:sz w:val="28"/>
          <w:szCs w:val="28"/>
          <w:lang w:val="ru-RU"/>
        </w:rPr>
        <w:t xml:space="preserve"> </w:t>
      </w:r>
      <w:proofErr w:type="spellStart"/>
      <w:r w:rsidRPr="00E03EA9">
        <w:rPr>
          <w:b/>
          <w:sz w:val="28"/>
          <w:szCs w:val="28"/>
          <w:lang w:val="ru-RU"/>
        </w:rPr>
        <w:t>Міненерговугілля</w:t>
      </w:r>
      <w:proofErr w:type="spellEnd"/>
    </w:p>
    <w:p w:rsidR="00E03EA9" w:rsidRPr="00E03EA9" w:rsidRDefault="00E03EA9" w:rsidP="00E03EA9">
      <w:pPr>
        <w:keepNext/>
        <w:jc w:val="center"/>
        <w:outlineLvl w:val="1"/>
        <w:rPr>
          <w:b/>
          <w:sz w:val="28"/>
          <w:szCs w:val="28"/>
          <w:lang w:val="ru-RU"/>
        </w:rPr>
      </w:pPr>
      <w:r w:rsidRPr="00E03EA9">
        <w:rPr>
          <w:b/>
          <w:sz w:val="28"/>
          <w:szCs w:val="28"/>
          <w:lang w:val="ru-RU"/>
        </w:rPr>
        <w:t xml:space="preserve"> про стан </w:t>
      </w:r>
      <w:proofErr w:type="spellStart"/>
      <w:r w:rsidRPr="00E03EA9">
        <w:rPr>
          <w:b/>
          <w:sz w:val="28"/>
          <w:szCs w:val="28"/>
          <w:lang w:val="ru-RU"/>
        </w:rPr>
        <w:t>охорони</w:t>
      </w:r>
      <w:proofErr w:type="spellEnd"/>
      <w:r w:rsidRPr="00E03EA9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E03EA9">
        <w:rPr>
          <w:b/>
          <w:sz w:val="28"/>
          <w:szCs w:val="28"/>
          <w:lang w:val="ru-RU"/>
        </w:rPr>
        <w:t>праці</w:t>
      </w:r>
      <w:proofErr w:type="spellEnd"/>
      <w:r w:rsidRPr="00E03EA9">
        <w:rPr>
          <w:b/>
          <w:sz w:val="28"/>
          <w:szCs w:val="28"/>
          <w:lang w:val="ru-RU"/>
        </w:rPr>
        <w:t xml:space="preserve">  за</w:t>
      </w:r>
      <w:proofErr w:type="gramEnd"/>
      <w:r w:rsidRPr="00E03EA9">
        <w:rPr>
          <w:b/>
          <w:sz w:val="28"/>
          <w:szCs w:val="28"/>
          <w:lang w:val="ru-RU"/>
        </w:rPr>
        <w:t xml:space="preserve"> 2018 </w:t>
      </w:r>
      <w:proofErr w:type="spellStart"/>
      <w:r w:rsidRPr="00E03EA9">
        <w:rPr>
          <w:b/>
          <w:sz w:val="28"/>
          <w:szCs w:val="28"/>
          <w:lang w:val="ru-RU"/>
        </w:rPr>
        <w:t>рік</w:t>
      </w:r>
      <w:proofErr w:type="spellEnd"/>
    </w:p>
    <w:p w:rsidR="00E03EA9" w:rsidRPr="00E03EA9" w:rsidRDefault="00E03EA9" w:rsidP="00E03EA9">
      <w:pPr>
        <w:keepNext/>
        <w:jc w:val="center"/>
        <w:outlineLvl w:val="1"/>
        <w:rPr>
          <w:b/>
          <w:sz w:val="28"/>
          <w:szCs w:val="28"/>
        </w:rPr>
      </w:pPr>
      <w:r w:rsidRPr="00E03EA9">
        <w:rPr>
          <w:b/>
          <w:sz w:val="28"/>
          <w:szCs w:val="28"/>
        </w:rPr>
        <w:t xml:space="preserve">в Атомно-промисловому комплексі </w:t>
      </w:r>
    </w:p>
    <w:p w:rsidR="00D71344" w:rsidRPr="0030543B" w:rsidRDefault="00D71344" w:rsidP="00D71344">
      <w:pPr>
        <w:rPr>
          <w:sz w:val="28"/>
          <w:szCs w:val="28"/>
        </w:rPr>
      </w:pPr>
      <w:bookmarkStart w:id="0" w:name="_GoBack"/>
      <w:bookmarkEnd w:id="0"/>
    </w:p>
    <w:p w:rsidR="00D71344" w:rsidRPr="0030543B" w:rsidRDefault="00D71344" w:rsidP="00D71344">
      <w:pPr>
        <w:pStyle w:val="2"/>
        <w:rPr>
          <w:b w:val="0"/>
          <w:sz w:val="28"/>
          <w:szCs w:val="28"/>
        </w:rPr>
      </w:pPr>
      <w:r w:rsidRPr="0030543B">
        <w:rPr>
          <w:sz w:val="28"/>
          <w:szCs w:val="28"/>
        </w:rPr>
        <w:t>РЕЗУЛЬТАТИ РОБОТИ З ОХОРОНИ ПРАЦІ В ДП «НАЕК «ЕНЕРГОАТОМ» ЗА  2018 РІК</w:t>
      </w:r>
    </w:p>
    <w:p w:rsidR="00D71344" w:rsidRPr="0030543B" w:rsidRDefault="00D71344" w:rsidP="00D71344">
      <w:pPr>
        <w:pStyle w:val="a8"/>
        <w:ind w:left="170" w:hanging="170"/>
        <w:rPr>
          <w:sz w:val="28"/>
          <w:szCs w:val="28"/>
        </w:rPr>
      </w:pPr>
    </w:p>
    <w:p w:rsidR="00D71344" w:rsidRPr="0030543B" w:rsidRDefault="00D71344" w:rsidP="00D71344">
      <w:pPr>
        <w:ind w:right="-1" w:firstLine="567"/>
        <w:jc w:val="both"/>
        <w:rPr>
          <w:sz w:val="28"/>
          <w:szCs w:val="28"/>
        </w:rPr>
      </w:pPr>
      <w:r w:rsidRPr="0030543B">
        <w:rPr>
          <w:sz w:val="28"/>
          <w:szCs w:val="28"/>
        </w:rPr>
        <w:t xml:space="preserve">У ДП «НАЕК «Енергоатом» згідно із Законами України «Про охорону праці» та </w:t>
      </w:r>
      <w:r w:rsidRPr="0030543B">
        <w:rPr>
          <w:color w:val="000000"/>
          <w:sz w:val="28"/>
          <w:szCs w:val="28"/>
        </w:rPr>
        <w:t>«Про використання ядерної енергії та радіаційну безпеку», з</w:t>
      </w:r>
      <w:r w:rsidRPr="0030543B">
        <w:rPr>
          <w:sz w:val="28"/>
          <w:szCs w:val="28"/>
        </w:rPr>
        <w:t xml:space="preserve"> Типовим положенням про службу охорони праці, Положенням про систему управління охороною праці на підприємствах електроенергетики, Положенням про службу охорони праці ДП</w:t>
      </w:r>
      <w:r>
        <w:rPr>
          <w:sz w:val="28"/>
          <w:szCs w:val="28"/>
        </w:rPr>
        <w:t> </w:t>
      </w:r>
      <w:r w:rsidRPr="0030543B">
        <w:rPr>
          <w:sz w:val="28"/>
          <w:szCs w:val="28"/>
        </w:rPr>
        <w:t>«НАЕК «Енергоатом»,</w:t>
      </w:r>
      <w:r w:rsidRPr="0030543B">
        <w:rPr>
          <w:spacing w:val="1"/>
          <w:sz w:val="28"/>
          <w:szCs w:val="28"/>
        </w:rPr>
        <w:t xml:space="preserve"> Положенням про систему управління охороною праці </w:t>
      </w:r>
      <w:r w:rsidRPr="0030543B">
        <w:rPr>
          <w:sz w:val="28"/>
          <w:szCs w:val="28"/>
        </w:rPr>
        <w:t>ДП</w:t>
      </w:r>
      <w:r>
        <w:rPr>
          <w:sz w:val="28"/>
          <w:szCs w:val="28"/>
        </w:rPr>
        <w:t> </w:t>
      </w:r>
      <w:r w:rsidRPr="0030543B">
        <w:rPr>
          <w:sz w:val="28"/>
          <w:szCs w:val="28"/>
        </w:rPr>
        <w:t xml:space="preserve">«НАЕК «Енергоатом» функціонує система управління охороною праці. </w:t>
      </w:r>
    </w:p>
    <w:p w:rsidR="00D71344" w:rsidRPr="0030543B" w:rsidRDefault="00D71344" w:rsidP="00D71344">
      <w:pPr>
        <w:ind w:firstLine="567"/>
        <w:jc w:val="both"/>
        <w:rPr>
          <w:sz w:val="28"/>
          <w:szCs w:val="28"/>
        </w:rPr>
      </w:pPr>
      <w:r w:rsidRPr="0030543B">
        <w:rPr>
          <w:spacing w:val="1"/>
          <w:sz w:val="28"/>
          <w:szCs w:val="28"/>
        </w:rPr>
        <w:t xml:space="preserve">Відокремлені підрозділи, Дирекція та ДП </w:t>
      </w:r>
      <w:r w:rsidRPr="0030543B">
        <w:rPr>
          <w:sz w:val="28"/>
          <w:szCs w:val="28"/>
        </w:rPr>
        <w:t xml:space="preserve">«НАЕК «Енергоатом», як єдина юридична особа, отримали сертифікати на систему менеджменту згідно з </w:t>
      </w:r>
      <w:r w:rsidRPr="0030543B">
        <w:rPr>
          <w:sz w:val="28"/>
          <w:szCs w:val="28"/>
          <w:lang w:val="en-US"/>
        </w:rPr>
        <w:t>BS</w:t>
      </w:r>
      <w:r w:rsidRPr="0030543B">
        <w:rPr>
          <w:sz w:val="28"/>
          <w:szCs w:val="28"/>
        </w:rPr>
        <w:t xml:space="preserve"> </w:t>
      </w:r>
      <w:r w:rsidRPr="0030543B">
        <w:rPr>
          <w:spacing w:val="1"/>
          <w:sz w:val="28"/>
          <w:szCs w:val="28"/>
        </w:rPr>
        <w:t xml:space="preserve">OHSAS 18001:2007, згідно з </w:t>
      </w:r>
      <w:r w:rsidRPr="0030543B">
        <w:rPr>
          <w:spacing w:val="1"/>
          <w:sz w:val="28"/>
          <w:szCs w:val="28"/>
          <w:lang w:val="en-US"/>
        </w:rPr>
        <w:t>EN</w:t>
      </w:r>
      <w:r w:rsidRPr="0030543B">
        <w:rPr>
          <w:spacing w:val="1"/>
          <w:sz w:val="28"/>
          <w:szCs w:val="28"/>
        </w:rPr>
        <w:t xml:space="preserve"> </w:t>
      </w:r>
      <w:r w:rsidRPr="0030543B">
        <w:rPr>
          <w:sz w:val="28"/>
          <w:szCs w:val="28"/>
          <w:lang w:val="en-US"/>
        </w:rPr>
        <w:t>ISO</w:t>
      </w:r>
      <w:r w:rsidRPr="0030543B">
        <w:rPr>
          <w:sz w:val="28"/>
          <w:szCs w:val="28"/>
        </w:rPr>
        <w:t xml:space="preserve"> 9001:2008 та згідно з </w:t>
      </w:r>
      <w:r w:rsidRPr="0030543B">
        <w:rPr>
          <w:spacing w:val="1"/>
          <w:sz w:val="28"/>
          <w:szCs w:val="28"/>
          <w:lang w:val="en-US"/>
        </w:rPr>
        <w:t>EN</w:t>
      </w:r>
      <w:r w:rsidRPr="0030543B">
        <w:rPr>
          <w:spacing w:val="1"/>
          <w:sz w:val="28"/>
          <w:szCs w:val="28"/>
        </w:rPr>
        <w:t xml:space="preserve"> </w:t>
      </w:r>
      <w:r w:rsidRPr="0030543B">
        <w:rPr>
          <w:sz w:val="28"/>
          <w:szCs w:val="28"/>
          <w:lang w:val="en-US"/>
        </w:rPr>
        <w:t>ISO</w:t>
      </w:r>
      <w:r w:rsidRPr="0030543B">
        <w:rPr>
          <w:sz w:val="28"/>
          <w:szCs w:val="28"/>
        </w:rPr>
        <w:t xml:space="preserve"> </w:t>
      </w:r>
      <w:r w:rsidRPr="0030543B">
        <w:rPr>
          <w:spacing w:val="1"/>
          <w:sz w:val="28"/>
          <w:szCs w:val="28"/>
        </w:rPr>
        <w:t>14001:2004</w:t>
      </w:r>
      <w:r w:rsidRPr="0030543B">
        <w:rPr>
          <w:sz w:val="28"/>
          <w:szCs w:val="28"/>
        </w:rPr>
        <w:t>.</w:t>
      </w:r>
    </w:p>
    <w:p w:rsidR="00D71344" w:rsidRPr="0030543B" w:rsidRDefault="00D71344" w:rsidP="00D71344">
      <w:pPr>
        <w:ind w:firstLine="567"/>
        <w:jc w:val="both"/>
        <w:rPr>
          <w:sz w:val="28"/>
          <w:szCs w:val="28"/>
        </w:rPr>
      </w:pPr>
      <w:r w:rsidRPr="0030543B">
        <w:rPr>
          <w:sz w:val="28"/>
          <w:szCs w:val="28"/>
        </w:rPr>
        <w:t>З метою удосконалення та розвитку інтегрованої системи управління ДП</w:t>
      </w:r>
      <w:r>
        <w:rPr>
          <w:sz w:val="28"/>
          <w:szCs w:val="28"/>
        </w:rPr>
        <w:t> </w:t>
      </w:r>
      <w:r w:rsidRPr="0030543B">
        <w:rPr>
          <w:sz w:val="28"/>
          <w:szCs w:val="28"/>
        </w:rPr>
        <w:t xml:space="preserve">«НАЕК «Енергоатом» і виконання рекомендацій міжнародного сертифікаційного органу </w:t>
      </w:r>
      <w:r w:rsidRPr="0030543B">
        <w:rPr>
          <w:sz w:val="28"/>
          <w:szCs w:val="28"/>
          <w:lang w:val="en-US"/>
        </w:rPr>
        <w:t>TUV</w:t>
      </w:r>
      <w:r w:rsidRPr="0030543B">
        <w:rPr>
          <w:sz w:val="28"/>
          <w:szCs w:val="28"/>
        </w:rPr>
        <w:t xml:space="preserve"> </w:t>
      </w:r>
      <w:r w:rsidRPr="0030543B">
        <w:rPr>
          <w:sz w:val="28"/>
          <w:szCs w:val="28"/>
          <w:lang w:val="en-US"/>
        </w:rPr>
        <w:t>NORD</w:t>
      </w:r>
      <w:r w:rsidRPr="0030543B">
        <w:rPr>
          <w:sz w:val="28"/>
          <w:szCs w:val="28"/>
        </w:rPr>
        <w:t xml:space="preserve"> </w:t>
      </w:r>
      <w:r w:rsidRPr="0030543B">
        <w:rPr>
          <w:sz w:val="28"/>
          <w:szCs w:val="28"/>
          <w:lang w:val="en-US"/>
        </w:rPr>
        <w:t>CERT</w:t>
      </w:r>
      <w:r w:rsidRPr="0030543B">
        <w:rPr>
          <w:sz w:val="28"/>
          <w:szCs w:val="28"/>
        </w:rPr>
        <w:t>, розроблені на основі ДСТУ OHSAS 18001:2010</w:t>
      </w:r>
      <w:r>
        <w:rPr>
          <w:sz w:val="28"/>
          <w:szCs w:val="28"/>
        </w:rPr>
        <w:t xml:space="preserve"> </w:t>
      </w:r>
      <w:r w:rsidRPr="0030543B">
        <w:rPr>
          <w:sz w:val="28"/>
          <w:szCs w:val="28"/>
        </w:rPr>
        <w:t xml:space="preserve">та введені в дію </w:t>
      </w:r>
      <w:r w:rsidRPr="0030543B">
        <w:rPr>
          <w:spacing w:val="1"/>
          <w:sz w:val="28"/>
          <w:szCs w:val="28"/>
        </w:rPr>
        <w:t xml:space="preserve">Положення про систему управління охороною праці </w:t>
      </w:r>
      <w:r w:rsidRPr="0030543B">
        <w:rPr>
          <w:sz w:val="28"/>
          <w:szCs w:val="28"/>
        </w:rPr>
        <w:t>ДП</w:t>
      </w:r>
      <w:r>
        <w:rPr>
          <w:sz w:val="28"/>
          <w:szCs w:val="28"/>
        </w:rPr>
        <w:t> </w:t>
      </w:r>
      <w:r w:rsidRPr="0030543B">
        <w:rPr>
          <w:sz w:val="28"/>
          <w:szCs w:val="28"/>
        </w:rPr>
        <w:t xml:space="preserve">«НАЕК «Енергоатом» та Методика ідентифікації небезпек, оцінювання та управління ризиками для життя та здоров’я працівників ДП «НАЕК «Енергоатом». </w:t>
      </w:r>
      <w:r>
        <w:rPr>
          <w:sz w:val="28"/>
          <w:szCs w:val="28"/>
        </w:rPr>
        <w:t>У</w:t>
      </w:r>
      <w:r w:rsidRPr="0030543B">
        <w:rPr>
          <w:sz w:val="28"/>
          <w:szCs w:val="28"/>
        </w:rPr>
        <w:t xml:space="preserve"> відокремлених підрозділах Компанії</w:t>
      </w:r>
      <w:r>
        <w:rPr>
          <w:sz w:val="28"/>
          <w:szCs w:val="28"/>
        </w:rPr>
        <w:t xml:space="preserve"> та </w:t>
      </w:r>
      <w:r w:rsidRPr="0030543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0543B">
        <w:rPr>
          <w:sz w:val="28"/>
          <w:szCs w:val="28"/>
        </w:rPr>
        <w:t xml:space="preserve"> структурних підрозділах Дирекції Компанії розроблені та введені в дію Карти ідентифікації небезпек і оцінки пов'язаних з ними ризиків для життя і здоров'я персоналу на кожному робочому місці з урахуванням особливостей діяльності відокремлених підрозділів.</w:t>
      </w:r>
    </w:p>
    <w:p w:rsidR="00D71344" w:rsidRPr="0030543B" w:rsidRDefault="00D71344" w:rsidP="00D71344">
      <w:pPr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У </w:t>
      </w:r>
      <w:r w:rsidRPr="0030543B">
        <w:rPr>
          <w:spacing w:val="1"/>
          <w:sz w:val="28"/>
          <w:szCs w:val="28"/>
        </w:rPr>
        <w:t xml:space="preserve">ДП </w:t>
      </w:r>
      <w:r w:rsidRPr="0030543B">
        <w:rPr>
          <w:sz w:val="28"/>
          <w:szCs w:val="28"/>
        </w:rPr>
        <w:t>«НАЕК «Енергоатом» проводяться аудити інтегрованої системи управління</w:t>
      </w:r>
      <w:r w:rsidRPr="00D71344">
        <w:rPr>
          <w:sz w:val="28"/>
          <w:szCs w:val="28"/>
        </w:rPr>
        <w:t xml:space="preserve"> </w:t>
      </w:r>
      <w:r w:rsidRPr="0030543B">
        <w:rPr>
          <w:sz w:val="28"/>
          <w:szCs w:val="28"/>
        </w:rPr>
        <w:t>охороною праці системи управління щодо виконан</w:t>
      </w:r>
      <w:r>
        <w:rPr>
          <w:sz w:val="28"/>
          <w:szCs w:val="28"/>
        </w:rPr>
        <w:t>ня вимог міжнародних стандартів</w:t>
      </w:r>
      <w:r w:rsidRPr="0030543B">
        <w:rPr>
          <w:sz w:val="28"/>
          <w:szCs w:val="28"/>
        </w:rPr>
        <w:t xml:space="preserve">, в тому числі внутрішні аудити та аудити представниками органу сертифікації TUV NORD CERT </w:t>
      </w:r>
      <w:proofErr w:type="spellStart"/>
      <w:r w:rsidRPr="0030543B">
        <w:rPr>
          <w:sz w:val="28"/>
          <w:szCs w:val="28"/>
        </w:rPr>
        <w:t>GmbH</w:t>
      </w:r>
      <w:proofErr w:type="spellEnd"/>
      <w:r w:rsidRPr="0030543B">
        <w:rPr>
          <w:sz w:val="28"/>
          <w:szCs w:val="28"/>
        </w:rPr>
        <w:t xml:space="preserve"> ТОВ «Інтернешнл Менеджмент Сервіс».</w:t>
      </w:r>
    </w:p>
    <w:p w:rsidR="00D71344" w:rsidRPr="0030543B" w:rsidRDefault="00D71344" w:rsidP="00BB151D">
      <w:pPr>
        <w:ind w:firstLine="567"/>
        <w:jc w:val="both"/>
        <w:rPr>
          <w:sz w:val="28"/>
          <w:szCs w:val="28"/>
        </w:rPr>
      </w:pPr>
      <w:r w:rsidRPr="0030543B">
        <w:rPr>
          <w:sz w:val="28"/>
          <w:szCs w:val="28"/>
        </w:rPr>
        <w:t xml:space="preserve">За результатами аудиту </w:t>
      </w:r>
      <w:r w:rsidR="00BB151D">
        <w:rPr>
          <w:sz w:val="28"/>
          <w:szCs w:val="28"/>
        </w:rPr>
        <w:t xml:space="preserve">здійсненого </w:t>
      </w:r>
      <w:r w:rsidR="00BB151D" w:rsidRPr="0030543B">
        <w:rPr>
          <w:sz w:val="28"/>
          <w:szCs w:val="28"/>
        </w:rPr>
        <w:t xml:space="preserve">представниками TUV NORD CERT </w:t>
      </w:r>
      <w:proofErr w:type="spellStart"/>
      <w:r w:rsidR="00BB151D" w:rsidRPr="0030543B">
        <w:rPr>
          <w:sz w:val="28"/>
          <w:szCs w:val="28"/>
        </w:rPr>
        <w:t>GmbH</w:t>
      </w:r>
      <w:proofErr w:type="spellEnd"/>
      <w:r w:rsidR="00BB151D" w:rsidRPr="0030543B">
        <w:rPr>
          <w:sz w:val="28"/>
          <w:szCs w:val="28"/>
        </w:rPr>
        <w:t xml:space="preserve"> ТОВ «Інтернешнл Менеджмент Сервіс»</w:t>
      </w:r>
      <w:r w:rsidR="00BB151D">
        <w:rPr>
          <w:sz w:val="28"/>
          <w:szCs w:val="28"/>
        </w:rPr>
        <w:t xml:space="preserve"> </w:t>
      </w:r>
      <w:r w:rsidRPr="0030543B">
        <w:rPr>
          <w:sz w:val="28"/>
          <w:szCs w:val="28"/>
        </w:rPr>
        <w:t xml:space="preserve">підтверджено </w:t>
      </w:r>
      <w:r w:rsidR="00BB151D" w:rsidRPr="0030543B">
        <w:rPr>
          <w:sz w:val="28"/>
          <w:szCs w:val="28"/>
        </w:rPr>
        <w:t xml:space="preserve">в листопаді 2018 року </w:t>
      </w:r>
      <w:r w:rsidRPr="0030543B">
        <w:rPr>
          <w:sz w:val="28"/>
          <w:szCs w:val="28"/>
        </w:rPr>
        <w:t>відповідність інтегрованої системи управління ДП «НАЕК «Енергоатом» вимогам міжнародних стандартів, в тому числі BS OHSAS 18001: 2007.</w:t>
      </w:r>
      <w:r w:rsidR="00BB151D">
        <w:rPr>
          <w:sz w:val="28"/>
          <w:szCs w:val="28"/>
        </w:rPr>
        <w:t xml:space="preserve"> Розпочато роботу з</w:t>
      </w:r>
      <w:r w:rsidRPr="0030543B">
        <w:rPr>
          <w:sz w:val="28"/>
          <w:szCs w:val="28"/>
        </w:rPr>
        <w:t xml:space="preserve"> підготовки до переходу з </w:t>
      </w:r>
      <w:r w:rsidRPr="0030543B">
        <w:rPr>
          <w:sz w:val="28"/>
          <w:szCs w:val="28"/>
          <w:lang w:val="en-US"/>
        </w:rPr>
        <w:t>BS</w:t>
      </w:r>
      <w:r w:rsidRPr="0030543B">
        <w:rPr>
          <w:sz w:val="28"/>
          <w:szCs w:val="28"/>
        </w:rPr>
        <w:t xml:space="preserve"> </w:t>
      </w:r>
      <w:r w:rsidRPr="0030543B">
        <w:rPr>
          <w:spacing w:val="1"/>
          <w:sz w:val="28"/>
          <w:szCs w:val="28"/>
        </w:rPr>
        <w:t xml:space="preserve">OHSAS 18001 на новий міжнародний стандарт </w:t>
      </w:r>
      <w:r w:rsidRPr="0030543B">
        <w:rPr>
          <w:sz w:val="28"/>
          <w:szCs w:val="28"/>
          <w:lang w:val="en-US"/>
        </w:rPr>
        <w:t>ISO</w:t>
      </w:r>
      <w:r w:rsidRPr="0030543B">
        <w:rPr>
          <w:sz w:val="28"/>
          <w:szCs w:val="28"/>
        </w:rPr>
        <w:t xml:space="preserve"> 45001:2018.</w:t>
      </w:r>
    </w:p>
    <w:p w:rsidR="00D71344" w:rsidRPr="0030543B" w:rsidRDefault="00D71344" w:rsidP="00D71344">
      <w:pPr>
        <w:ind w:firstLine="567"/>
        <w:jc w:val="both"/>
        <w:rPr>
          <w:sz w:val="28"/>
          <w:szCs w:val="28"/>
        </w:rPr>
      </w:pPr>
      <w:r w:rsidRPr="0030543B">
        <w:rPr>
          <w:sz w:val="28"/>
          <w:szCs w:val="28"/>
        </w:rPr>
        <w:t xml:space="preserve">На виконання наказу </w:t>
      </w:r>
      <w:proofErr w:type="spellStart"/>
      <w:r w:rsidRPr="0030543B">
        <w:rPr>
          <w:sz w:val="28"/>
          <w:szCs w:val="28"/>
        </w:rPr>
        <w:t>Міненерговугілля</w:t>
      </w:r>
      <w:proofErr w:type="spellEnd"/>
      <w:r w:rsidRPr="0030543B">
        <w:rPr>
          <w:sz w:val="28"/>
          <w:szCs w:val="28"/>
        </w:rPr>
        <w:t xml:space="preserve"> України від 02.01.2018 № 1 «Про затвердження Плану основних заходів з підвищення рівня охорони праці на підприємствах </w:t>
      </w:r>
      <w:proofErr w:type="spellStart"/>
      <w:r w:rsidRPr="0030543B">
        <w:rPr>
          <w:sz w:val="28"/>
          <w:szCs w:val="28"/>
        </w:rPr>
        <w:t>Міненерговугілля</w:t>
      </w:r>
      <w:proofErr w:type="spellEnd"/>
      <w:r w:rsidRPr="0030543B">
        <w:rPr>
          <w:sz w:val="28"/>
          <w:szCs w:val="28"/>
        </w:rPr>
        <w:t xml:space="preserve"> на 2018 рік» у Компанії розроблено «План заходів щодо поліпшення стану охорони праці та пожежної безпеки у відокремлених підрозділах ДП «НАЕК «Енергоатом» на 2018 рік» та «План фінансування витрат на заходи з охорони праці на 2018 рік». Упродовж звітного року передбачені Планом заходи виконувались у встановлені терміни. </w:t>
      </w:r>
    </w:p>
    <w:p w:rsidR="00D71344" w:rsidRPr="0030543B" w:rsidRDefault="00D71344" w:rsidP="00D71344">
      <w:pPr>
        <w:ind w:firstLine="567"/>
        <w:jc w:val="both"/>
        <w:rPr>
          <w:sz w:val="28"/>
          <w:szCs w:val="28"/>
        </w:rPr>
      </w:pPr>
      <w:r w:rsidRPr="0030543B">
        <w:rPr>
          <w:sz w:val="28"/>
          <w:szCs w:val="28"/>
        </w:rPr>
        <w:t xml:space="preserve">Колективним договором ДП «НАЕК «Енергоатом» на 2018 рік передбачено фінансування витрат на охорону праці (згідно з Переліком, затвердженим постановою Кабінету Міністрів України від </w:t>
      </w:r>
      <w:smartTag w:uri="urn:schemas-microsoft-com:office:smarttags" w:element="date">
        <w:smartTagPr>
          <w:attr w:name="Year" w:val="2003"/>
          <w:attr w:name="Day" w:val="27"/>
          <w:attr w:name="Month" w:val="06"/>
          <w:attr w:name="ls" w:val="trans"/>
        </w:smartTagPr>
        <w:r w:rsidRPr="0030543B">
          <w:rPr>
            <w:sz w:val="28"/>
            <w:szCs w:val="28"/>
          </w:rPr>
          <w:t>27.06.2003</w:t>
        </w:r>
      </w:smartTag>
      <w:r w:rsidRPr="0030543B">
        <w:rPr>
          <w:sz w:val="28"/>
          <w:szCs w:val="28"/>
        </w:rPr>
        <w:t xml:space="preserve"> № 994) у відокремлених </w:t>
      </w:r>
      <w:r w:rsidRPr="0030543B">
        <w:rPr>
          <w:sz w:val="28"/>
          <w:szCs w:val="28"/>
        </w:rPr>
        <w:lastRenderedPageBreak/>
        <w:t>підрозділах Компанії, де існують шкідливі, важкі та небезпечні виробничі фактори, у розмірі не менше 7,0 % від фонду оплати праці ДП «НАЕК «Енергоатом» за попередній рік, в інших відокремлених підрозділах – у розмірах, передбачених статтею 19 Закону України «Про охорону праці».</w:t>
      </w:r>
    </w:p>
    <w:p w:rsidR="00D71344" w:rsidRPr="0030543B" w:rsidRDefault="00D71344" w:rsidP="00FF3626">
      <w:pPr>
        <w:ind w:firstLine="522"/>
        <w:jc w:val="both"/>
        <w:rPr>
          <w:sz w:val="28"/>
          <w:szCs w:val="28"/>
        </w:rPr>
      </w:pPr>
      <w:r w:rsidRPr="0030543B">
        <w:rPr>
          <w:sz w:val="28"/>
          <w:szCs w:val="28"/>
        </w:rPr>
        <w:t xml:space="preserve">Сумарні витрати на засоби та заходи з охорони праці, що відносяться до витрат відповідно до постанови Кабінету Міністрів України від 27.06.2003 № 994, в ДП «НАЕК «Енергоатом» за 2018 рік склали понад </w:t>
      </w:r>
      <w:r w:rsidRPr="0030543B">
        <w:rPr>
          <w:sz w:val="28"/>
          <w:szCs w:val="28"/>
          <w:lang w:val="ru-RU"/>
        </w:rPr>
        <w:t xml:space="preserve">399 </w:t>
      </w:r>
      <w:r w:rsidR="00FF3626">
        <w:rPr>
          <w:sz w:val="28"/>
          <w:szCs w:val="28"/>
        </w:rPr>
        <w:t xml:space="preserve">млн грн., що становить </w:t>
      </w:r>
      <w:r w:rsidRPr="0030543B">
        <w:rPr>
          <w:sz w:val="28"/>
          <w:szCs w:val="28"/>
        </w:rPr>
        <w:t xml:space="preserve">6,44  % від фонду оплати праці ДП «НАЕК «Енергоатом» за 2017 рік, що відповідає вимогам статті 19 Закону України «Про охорону праці». </w:t>
      </w:r>
    </w:p>
    <w:p w:rsidR="00D71344" w:rsidRPr="0030543B" w:rsidRDefault="00D71344" w:rsidP="00D71344">
      <w:pPr>
        <w:ind w:firstLine="539"/>
        <w:jc w:val="both"/>
        <w:rPr>
          <w:sz w:val="28"/>
          <w:szCs w:val="28"/>
        </w:rPr>
      </w:pPr>
      <w:r w:rsidRPr="0030543B">
        <w:rPr>
          <w:sz w:val="28"/>
          <w:szCs w:val="28"/>
        </w:rPr>
        <w:t xml:space="preserve">На 2018 рік у ДП «НАЕК «Енергоатом» було заплановано виконання 209 Комплексних заходів з охорони праці вартістю понад 43,9 млн гривень. Фактично виконано 180 заходів  вартістю понад 37 млн гривень. </w:t>
      </w:r>
    </w:p>
    <w:p w:rsidR="00D71344" w:rsidRDefault="00D71344" w:rsidP="00557485">
      <w:pPr>
        <w:ind w:firstLine="539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0543B">
        <w:rPr>
          <w:sz w:val="28"/>
          <w:szCs w:val="28"/>
        </w:rPr>
        <w:t>Вартість виконаних Комплексних заходів з охорони праці дорівнює 9,33 % від загальних витрат на охорону праці ДП</w:t>
      </w:r>
      <w:r w:rsidRPr="0030543B">
        <w:rPr>
          <w:sz w:val="28"/>
          <w:szCs w:val="28"/>
          <w:lang w:val="en-US"/>
        </w:rPr>
        <w:t> </w:t>
      </w:r>
      <w:r w:rsidRPr="0030543B">
        <w:rPr>
          <w:sz w:val="28"/>
          <w:szCs w:val="28"/>
        </w:rPr>
        <w:t xml:space="preserve">«НАЕК «Енергоатом» у 2018 році, що відповідає вимогам </w:t>
      </w:r>
      <w:proofErr w:type="spellStart"/>
      <w:r w:rsidRPr="0030543B">
        <w:rPr>
          <w:sz w:val="28"/>
          <w:szCs w:val="28"/>
        </w:rPr>
        <w:t>п.5.3</w:t>
      </w:r>
      <w:proofErr w:type="spellEnd"/>
      <w:r w:rsidRPr="0030543B">
        <w:rPr>
          <w:sz w:val="28"/>
          <w:szCs w:val="28"/>
        </w:rPr>
        <w:t xml:space="preserve"> Колдоговору (до 10 % від суми коштів загальних витрат на охорону праці), виконання кількості Комплексних заходів за рік складає 84,5 % від запланованої.</w:t>
      </w:r>
      <w:r w:rsidRPr="0030543B">
        <w:rPr>
          <w:rFonts w:eastAsia="Calibri"/>
          <w:spacing w:val="0"/>
          <w:sz w:val="28"/>
          <w:szCs w:val="28"/>
          <w:lang w:eastAsia="en-US"/>
        </w:rPr>
        <w:t xml:space="preserve"> </w:t>
      </w:r>
    </w:p>
    <w:p w:rsidR="00605437" w:rsidRPr="0030543B" w:rsidRDefault="00605437" w:rsidP="00605437">
      <w:pPr>
        <w:ind w:firstLine="567"/>
        <w:jc w:val="both"/>
        <w:rPr>
          <w:sz w:val="28"/>
          <w:szCs w:val="28"/>
        </w:rPr>
      </w:pPr>
      <w:r w:rsidRPr="0030543B">
        <w:rPr>
          <w:sz w:val="28"/>
          <w:szCs w:val="28"/>
        </w:rPr>
        <w:t>Значна увага керівництва постійно приділяється фінансуванню робіт з навчання персоналу, фінансового забезпечення цієї важливої частини роботи з персоналом.</w:t>
      </w:r>
    </w:p>
    <w:p w:rsidR="00605437" w:rsidRPr="0030543B" w:rsidRDefault="00605437" w:rsidP="00605437">
      <w:pPr>
        <w:ind w:firstLine="567"/>
        <w:jc w:val="both"/>
        <w:rPr>
          <w:sz w:val="28"/>
          <w:szCs w:val="28"/>
        </w:rPr>
      </w:pPr>
      <w:r w:rsidRPr="0030543B">
        <w:rPr>
          <w:sz w:val="28"/>
          <w:szCs w:val="28"/>
        </w:rPr>
        <w:t xml:space="preserve">Так, витрати на проведення навчання та перевірки знань з охорони праці склали за  2018 рік понад </w:t>
      </w:r>
      <w:proofErr w:type="spellStart"/>
      <w:r w:rsidRPr="0030543B">
        <w:rPr>
          <w:color w:val="000000"/>
          <w:sz w:val="28"/>
          <w:szCs w:val="28"/>
        </w:rPr>
        <w:t>понад</w:t>
      </w:r>
      <w:proofErr w:type="spellEnd"/>
      <w:r w:rsidRPr="0030543B">
        <w:rPr>
          <w:color w:val="000000"/>
          <w:sz w:val="28"/>
          <w:szCs w:val="28"/>
        </w:rPr>
        <w:t xml:space="preserve"> </w:t>
      </w:r>
      <w:r w:rsidRPr="0030543B">
        <w:rPr>
          <w:sz w:val="28"/>
          <w:szCs w:val="28"/>
        </w:rPr>
        <w:t xml:space="preserve">1 млн </w:t>
      </w:r>
      <w:r w:rsidRPr="0030543B">
        <w:rPr>
          <w:sz w:val="28"/>
          <w:szCs w:val="28"/>
          <w:lang w:val="ru-RU"/>
        </w:rPr>
        <w:t>910</w:t>
      </w:r>
      <w:r w:rsidRPr="0030543B">
        <w:rPr>
          <w:sz w:val="28"/>
          <w:szCs w:val="28"/>
        </w:rPr>
        <w:t xml:space="preserve"> тис. гривень.</w:t>
      </w:r>
    </w:p>
    <w:p w:rsidR="00605437" w:rsidRPr="0030543B" w:rsidRDefault="00605437" w:rsidP="00605437">
      <w:pPr>
        <w:ind w:firstLine="142"/>
        <w:jc w:val="both"/>
        <w:rPr>
          <w:i/>
          <w:sz w:val="28"/>
          <w:szCs w:val="28"/>
        </w:rPr>
      </w:pPr>
      <w:r w:rsidRPr="0030543B">
        <w:rPr>
          <w:i/>
          <w:sz w:val="28"/>
          <w:szCs w:val="28"/>
        </w:rPr>
        <w:t xml:space="preserve">Для порівняння: </w:t>
      </w:r>
    </w:p>
    <w:p w:rsidR="00605437" w:rsidRPr="00605437" w:rsidRDefault="00605437" w:rsidP="00605437">
      <w:pPr>
        <w:ind w:firstLine="567"/>
        <w:jc w:val="both"/>
        <w:rPr>
          <w:i/>
          <w:color w:val="000000"/>
          <w:sz w:val="28"/>
          <w:szCs w:val="28"/>
        </w:rPr>
      </w:pPr>
      <w:r w:rsidRPr="00605437">
        <w:rPr>
          <w:i/>
          <w:sz w:val="28"/>
          <w:szCs w:val="28"/>
        </w:rPr>
        <w:t xml:space="preserve">Витрати на проведення навчання та перевірки знань з охорони праці склали за  2017 рік понад 1 млн </w:t>
      </w:r>
      <w:r w:rsidRPr="00605437">
        <w:rPr>
          <w:i/>
          <w:color w:val="000000"/>
          <w:sz w:val="28"/>
          <w:szCs w:val="28"/>
          <w:lang w:val="ru-RU"/>
        </w:rPr>
        <w:t>958</w:t>
      </w:r>
      <w:r w:rsidRPr="00605437">
        <w:rPr>
          <w:i/>
          <w:color w:val="FF6600"/>
          <w:sz w:val="28"/>
          <w:szCs w:val="28"/>
        </w:rPr>
        <w:t xml:space="preserve"> </w:t>
      </w:r>
      <w:r w:rsidRPr="00605437">
        <w:rPr>
          <w:i/>
          <w:sz w:val="28"/>
          <w:szCs w:val="28"/>
        </w:rPr>
        <w:t>тис. гривень.</w:t>
      </w:r>
    </w:p>
    <w:p w:rsidR="00557485" w:rsidRPr="0030543B" w:rsidRDefault="00D71344" w:rsidP="00557485">
      <w:pPr>
        <w:ind w:firstLine="567"/>
        <w:jc w:val="both"/>
        <w:rPr>
          <w:sz w:val="28"/>
          <w:szCs w:val="28"/>
        </w:rPr>
      </w:pPr>
      <w:r w:rsidRPr="0030543B">
        <w:rPr>
          <w:sz w:val="28"/>
          <w:szCs w:val="28"/>
        </w:rPr>
        <w:t>Відповідно до статті 7 Закону України «Про охорону праці» працівники ДП «НАЕК «Енергоатом», зайняті на роботах зі шкідливими та важкими умовами праці, користуються пільгами і компенсаціями, які передбачені чинним законодавством.</w:t>
      </w:r>
      <w:r w:rsidR="00557485" w:rsidRPr="00557485">
        <w:rPr>
          <w:sz w:val="28"/>
          <w:szCs w:val="28"/>
        </w:rPr>
        <w:t xml:space="preserve"> </w:t>
      </w:r>
      <w:r w:rsidR="00557485">
        <w:rPr>
          <w:sz w:val="28"/>
          <w:szCs w:val="28"/>
        </w:rPr>
        <w:t>П</w:t>
      </w:r>
      <w:r w:rsidR="00557485" w:rsidRPr="0030543B">
        <w:rPr>
          <w:sz w:val="28"/>
          <w:szCs w:val="28"/>
        </w:rPr>
        <w:t>роведення атестації робочих місць, виведення працівників з умов, які не відповідають санітарно-гігієнічним нормам</w:t>
      </w:r>
      <w:r w:rsidR="00557485">
        <w:rPr>
          <w:sz w:val="28"/>
          <w:szCs w:val="28"/>
        </w:rPr>
        <w:t xml:space="preserve"> здійснюється</w:t>
      </w:r>
      <w:r w:rsidR="00557485" w:rsidRPr="0030543B">
        <w:rPr>
          <w:sz w:val="28"/>
          <w:szCs w:val="28"/>
        </w:rPr>
        <w:t xml:space="preserve"> за планами та затвердженими графіками. Вартість проведення атестації </w:t>
      </w:r>
      <w:r w:rsidR="00F37651" w:rsidRPr="0030543B">
        <w:rPr>
          <w:sz w:val="28"/>
          <w:szCs w:val="28"/>
        </w:rPr>
        <w:t>робочих</w:t>
      </w:r>
      <w:r w:rsidR="00557485" w:rsidRPr="0030543B">
        <w:rPr>
          <w:sz w:val="28"/>
          <w:szCs w:val="28"/>
        </w:rPr>
        <w:t xml:space="preserve"> місць за умовами праці склала у звітному році 148,5 тис гривень.</w:t>
      </w:r>
    </w:p>
    <w:p w:rsidR="00D71344" w:rsidRPr="0030543B" w:rsidRDefault="00605437" w:rsidP="00D71344">
      <w:pPr>
        <w:tabs>
          <w:tab w:val="left" w:pos="0"/>
        </w:tabs>
        <w:suppressAutoHyphens/>
        <w:ind w:right="23" w:firstLine="567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Керівники та спеціалісти </w:t>
      </w:r>
      <w:r w:rsidR="00D71344" w:rsidRPr="0030543B">
        <w:rPr>
          <w:color w:val="000000"/>
          <w:spacing w:val="0"/>
          <w:sz w:val="28"/>
          <w:szCs w:val="28"/>
        </w:rPr>
        <w:t xml:space="preserve">служб охорони праці </w:t>
      </w:r>
      <w:r w:rsidR="00F37651">
        <w:rPr>
          <w:color w:val="000000"/>
          <w:spacing w:val="0"/>
          <w:sz w:val="28"/>
          <w:szCs w:val="28"/>
        </w:rPr>
        <w:t xml:space="preserve">структурних і </w:t>
      </w:r>
      <w:r w:rsidR="00D71344" w:rsidRPr="0030543B">
        <w:rPr>
          <w:color w:val="000000"/>
          <w:spacing w:val="0"/>
          <w:sz w:val="28"/>
          <w:szCs w:val="28"/>
        </w:rPr>
        <w:t xml:space="preserve">відокремлених підрозділів ДП «НАЕК «Енергоатом» </w:t>
      </w:r>
      <w:r w:rsidR="00D71344" w:rsidRPr="0030543B">
        <w:rPr>
          <w:sz w:val="28"/>
          <w:szCs w:val="28"/>
        </w:rPr>
        <w:t xml:space="preserve">взяли участь у </w:t>
      </w:r>
      <w:r w:rsidR="00D71344" w:rsidRPr="0030543B">
        <w:rPr>
          <w:spacing w:val="0"/>
          <w:sz w:val="28"/>
          <w:szCs w:val="28"/>
          <w:lang w:val="en-US"/>
        </w:rPr>
        <w:t>V</w:t>
      </w:r>
      <w:r w:rsidR="00D71344" w:rsidRPr="0030543B">
        <w:rPr>
          <w:spacing w:val="0"/>
          <w:sz w:val="28"/>
          <w:szCs w:val="28"/>
        </w:rPr>
        <w:t xml:space="preserve">І Міжнародній конференції «Промислова безпека. Найкращі практики-2018», </w:t>
      </w:r>
      <w:r w:rsidR="00D71344" w:rsidRPr="0030543B">
        <w:rPr>
          <w:sz w:val="28"/>
          <w:szCs w:val="28"/>
        </w:rPr>
        <w:t xml:space="preserve">у </w:t>
      </w:r>
      <w:r w:rsidR="00D71344" w:rsidRPr="0030543B">
        <w:rPr>
          <w:color w:val="000000"/>
          <w:spacing w:val="0"/>
          <w:sz w:val="28"/>
          <w:szCs w:val="28"/>
        </w:rPr>
        <w:t xml:space="preserve">ХVI Міжнародному форумі «Паливно-енергетичний комплекс України: сучасність та майбутнє», </w:t>
      </w:r>
      <w:r w:rsidR="00F37651" w:rsidRPr="0030543B">
        <w:rPr>
          <w:spacing w:val="0"/>
          <w:sz w:val="28"/>
          <w:szCs w:val="28"/>
          <w:lang w:val="en-US"/>
        </w:rPr>
        <w:t>VI</w:t>
      </w:r>
      <w:r w:rsidR="00F37651">
        <w:rPr>
          <w:spacing w:val="0"/>
          <w:sz w:val="28"/>
          <w:szCs w:val="28"/>
        </w:rPr>
        <w:t> </w:t>
      </w:r>
      <w:r w:rsidR="00F37651" w:rsidRPr="0030543B">
        <w:rPr>
          <w:spacing w:val="0"/>
          <w:sz w:val="28"/>
          <w:szCs w:val="28"/>
        </w:rPr>
        <w:t>Міжнародній конференції «Промисл</w:t>
      </w:r>
      <w:r w:rsidR="00F37651">
        <w:rPr>
          <w:spacing w:val="0"/>
          <w:sz w:val="28"/>
          <w:szCs w:val="28"/>
        </w:rPr>
        <w:t>ова безпека. Найкращі практики»</w:t>
      </w:r>
      <w:r w:rsidR="00F37651">
        <w:rPr>
          <w:color w:val="000000"/>
          <w:spacing w:val="0"/>
          <w:sz w:val="28"/>
          <w:szCs w:val="28"/>
        </w:rPr>
        <w:t>,</w:t>
      </w:r>
      <w:r w:rsidR="00D71344" w:rsidRPr="0030543B">
        <w:rPr>
          <w:spacing w:val="0"/>
          <w:sz w:val="28"/>
          <w:szCs w:val="28"/>
        </w:rPr>
        <w:t xml:space="preserve"> відвідали Всеукраїнський семінар-тренінг «Безпечна робота в обмеженому просторі. Кращий досвід – 2018»</w:t>
      </w:r>
      <w:r w:rsidR="00F37651">
        <w:rPr>
          <w:spacing w:val="0"/>
          <w:sz w:val="28"/>
          <w:szCs w:val="28"/>
        </w:rPr>
        <w:t xml:space="preserve">, </w:t>
      </w:r>
      <w:r w:rsidR="00D71344" w:rsidRPr="0030543B">
        <w:rPr>
          <w:spacing w:val="0"/>
          <w:sz w:val="28"/>
          <w:szCs w:val="28"/>
          <w:lang w:val="en-US"/>
        </w:rPr>
        <w:t>VI</w:t>
      </w:r>
      <w:r w:rsidR="00F37651">
        <w:rPr>
          <w:spacing w:val="0"/>
          <w:sz w:val="28"/>
          <w:szCs w:val="28"/>
          <w:lang w:val="ru-RU"/>
        </w:rPr>
        <w:t> </w:t>
      </w:r>
      <w:proofErr w:type="spellStart"/>
      <w:r w:rsidR="00F37651">
        <w:rPr>
          <w:spacing w:val="0"/>
          <w:sz w:val="28"/>
          <w:szCs w:val="28"/>
          <w:lang w:val="ru-RU"/>
        </w:rPr>
        <w:t>Міжнародну</w:t>
      </w:r>
      <w:proofErr w:type="spellEnd"/>
      <w:r w:rsidR="00D71344" w:rsidRPr="0030543B">
        <w:rPr>
          <w:spacing w:val="0"/>
          <w:sz w:val="28"/>
          <w:szCs w:val="28"/>
          <w:lang w:val="ru-RU"/>
        </w:rPr>
        <w:t xml:space="preserve"> </w:t>
      </w:r>
      <w:r w:rsidR="00D71344" w:rsidRPr="0030543B">
        <w:rPr>
          <w:spacing w:val="0"/>
          <w:sz w:val="28"/>
          <w:szCs w:val="28"/>
        </w:rPr>
        <w:t>науково-практичн</w:t>
      </w:r>
      <w:r w:rsidR="00F37651">
        <w:rPr>
          <w:spacing w:val="0"/>
          <w:sz w:val="28"/>
          <w:szCs w:val="28"/>
        </w:rPr>
        <w:t>у конференцію</w:t>
      </w:r>
      <w:r w:rsidR="00D71344" w:rsidRPr="0030543B">
        <w:rPr>
          <w:spacing w:val="0"/>
          <w:sz w:val="28"/>
          <w:szCs w:val="28"/>
        </w:rPr>
        <w:t xml:space="preserve"> «Охорона праці 2018»</w:t>
      </w:r>
      <w:r w:rsidR="00F37651">
        <w:rPr>
          <w:spacing w:val="0"/>
          <w:sz w:val="28"/>
          <w:szCs w:val="28"/>
        </w:rPr>
        <w:t xml:space="preserve">, </w:t>
      </w:r>
      <w:r w:rsidR="00D71344" w:rsidRPr="0030543B">
        <w:rPr>
          <w:spacing w:val="0"/>
          <w:sz w:val="28"/>
          <w:szCs w:val="28"/>
        </w:rPr>
        <w:t>прослухали інформаційно-консультативний семінар та отримали сертифікати на тему «Організація роботи щодо Порядку проведення атестації лабораторій, атестації робочих місць за умовами праці та медичних оглядів працівників».</w:t>
      </w:r>
    </w:p>
    <w:p w:rsidR="00D71344" w:rsidRPr="0030543B" w:rsidRDefault="00D71344" w:rsidP="00D71344">
      <w:pPr>
        <w:ind w:firstLine="522"/>
        <w:jc w:val="both"/>
        <w:rPr>
          <w:sz w:val="28"/>
          <w:szCs w:val="28"/>
        </w:rPr>
      </w:pPr>
      <w:r w:rsidRPr="0030543B">
        <w:rPr>
          <w:sz w:val="28"/>
          <w:szCs w:val="28"/>
        </w:rPr>
        <w:t xml:space="preserve">Навчання безпечним методам роботи, вивчення нормативної бази з охорони праці є важливим фактором як для загальної освіти працівників, так і для зменшення ризиків отримання ними виробничих травм, що </w:t>
      </w:r>
      <w:r w:rsidR="008C2986">
        <w:rPr>
          <w:sz w:val="28"/>
          <w:szCs w:val="28"/>
        </w:rPr>
        <w:t>забезпечує</w:t>
      </w:r>
      <w:r w:rsidRPr="0030543B">
        <w:rPr>
          <w:sz w:val="28"/>
          <w:szCs w:val="28"/>
        </w:rPr>
        <w:t xml:space="preserve"> досягнення головної мети – збереження здоров’я та працездатності персоналу АЕС та інших відокремлених підрозділів ДП «НАЕК «Енергоатом». </w:t>
      </w:r>
    </w:p>
    <w:p w:rsidR="00E258D9" w:rsidRPr="0030543B" w:rsidRDefault="00D71344" w:rsidP="00E258D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0543B">
        <w:rPr>
          <w:sz w:val="28"/>
          <w:szCs w:val="28"/>
          <w:lang w:eastAsia="uk-UA"/>
        </w:rPr>
        <w:lastRenderedPageBreak/>
        <w:t xml:space="preserve">Відповідно до Закону України «Про використання ядерної енергії та радіаційну безпеку» (стаття 14) персонал АЕС має право на професійну перепідготовку, підвищення кваліфікації та ліцензування за рахунок ліцензіата. </w:t>
      </w:r>
      <w:r w:rsidR="00E258D9" w:rsidRPr="0030543B">
        <w:rPr>
          <w:sz w:val="28"/>
          <w:szCs w:val="28"/>
        </w:rPr>
        <w:t>У ДП «НАЕК «Енергоатом» тренажерне навчання проходить персонал певних посад (згідно з переліком), при цьому ліцензований персонал проходить навчання на повномасштабних тренажерах енергоблоків. Професійна підготовка персоналу відокремлених підрозділів проводиться, як правило, у навчально-тренувальних центрах ВП АЕС і ВП «</w:t>
      </w:r>
      <w:proofErr w:type="spellStart"/>
      <w:r w:rsidR="00E258D9" w:rsidRPr="0030543B">
        <w:rPr>
          <w:sz w:val="28"/>
          <w:szCs w:val="28"/>
        </w:rPr>
        <w:t>Атомремонтсервіс</w:t>
      </w:r>
      <w:proofErr w:type="spellEnd"/>
      <w:r w:rsidR="00E258D9" w:rsidRPr="0030543B">
        <w:rPr>
          <w:sz w:val="28"/>
          <w:szCs w:val="28"/>
        </w:rPr>
        <w:t xml:space="preserve">» та на робочих місцях. </w:t>
      </w:r>
    </w:p>
    <w:p w:rsidR="008C2986" w:rsidRDefault="00D71344" w:rsidP="00D71344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30543B">
        <w:rPr>
          <w:sz w:val="28"/>
          <w:szCs w:val="28"/>
          <w:lang w:eastAsia="uk-UA"/>
        </w:rPr>
        <w:t>Участь персоналу ДП «НАЕК «Енергоатом» у тренуваннях та змаганнях є однією з форм професійної підготовки, підвищення професійної майстерності</w:t>
      </w:r>
      <w:r w:rsidR="008C2986">
        <w:rPr>
          <w:sz w:val="28"/>
          <w:szCs w:val="28"/>
          <w:lang w:eastAsia="uk-UA"/>
        </w:rPr>
        <w:t xml:space="preserve"> також є </w:t>
      </w:r>
      <w:r w:rsidRPr="0030543B">
        <w:rPr>
          <w:sz w:val="28"/>
          <w:szCs w:val="28"/>
        </w:rPr>
        <w:t>елемент</w:t>
      </w:r>
      <w:r w:rsidR="008C2986">
        <w:rPr>
          <w:sz w:val="28"/>
          <w:szCs w:val="28"/>
        </w:rPr>
        <w:t>ом</w:t>
      </w:r>
      <w:r w:rsidRPr="0030543B">
        <w:rPr>
          <w:sz w:val="28"/>
          <w:szCs w:val="28"/>
        </w:rPr>
        <w:t xml:space="preserve"> стратегії глибокоешелонованого захисту і реалізації системи аварійної готовності та реагування.</w:t>
      </w:r>
      <w:r w:rsidR="008C2986">
        <w:rPr>
          <w:sz w:val="28"/>
          <w:szCs w:val="28"/>
        </w:rPr>
        <w:t xml:space="preserve"> Крім того, п</w:t>
      </w:r>
      <w:r w:rsidRPr="0030543B">
        <w:rPr>
          <w:sz w:val="28"/>
          <w:szCs w:val="28"/>
        </w:rPr>
        <w:t>ротиаварійні та протипожежні тренування є проводяться з метою формування і перевірки готовності працівників Компанії до виконання своїх обов’язків у позаштатних ситуаціях різного виду і рівня</w:t>
      </w:r>
      <w:r w:rsidR="008C2986">
        <w:rPr>
          <w:sz w:val="28"/>
          <w:szCs w:val="28"/>
        </w:rPr>
        <w:t>.</w:t>
      </w:r>
    </w:p>
    <w:p w:rsidR="00D71344" w:rsidRPr="0030543B" w:rsidRDefault="00D71344" w:rsidP="008C2986">
      <w:pPr>
        <w:ind w:firstLine="567"/>
        <w:jc w:val="both"/>
        <w:rPr>
          <w:sz w:val="28"/>
          <w:szCs w:val="28"/>
        </w:rPr>
      </w:pPr>
      <w:r w:rsidRPr="0030543B">
        <w:rPr>
          <w:sz w:val="28"/>
          <w:szCs w:val="28"/>
          <w:lang w:eastAsia="uk-UA"/>
        </w:rPr>
        <w:t xml:space="preserve">З метою підвищення професійної майстерності працівників атомної енергетики, </w:t>
      </w:r>
      <w:r w:rsidRPr="0030543B">
        <w:rPr>
          <w:spacing w:val="0"/>
          <w:sz w:val="28"/>
          <w:szCs w:val="28"/>
        </w:rPr>
        <w:t>у період з травня по серпень 2018</w:t>
      </w:r>
      <w:r w:rsidRPr="0030543B">
        <w:rPr>
          <w:spacing w:val="0"/>
          <w:sz w:val="28"/>
          <w:szCs w:val="28"/>
          <w:lang w:val="en-US"/>
        </w:rPr>
        <w:t> </w:t>
      </w:r>
      <w:r w:rsidRPr="0030543B">
        <w:rPr>
          <w:spacing w:val="0"/>
          <w:sz w:val="28"/>
          <w:szCs w:val="28"/>
        </w:rPr>
        <w:t xml:space="preserve">року у ВП АЕС проводились конкурси професійної майстерності серед молодих працівників. </w:t>
      </w:r>
    </w:p>
    <w:p w:rsidR="00D71344" w:rsidRPr="0030543B" w:rsidRDefault="00D71344" w:rsidP="00D71344">
      <w:pPr>
        <w:ind w:firstLine="567"/>
        <w:jc w:val="both"/>
        <w:rPr>
          <w:sz w:val="28"/>
          <w:szCs w:val="28"/>
        </w:rPr>
      </w:pPr>
      <w:r w:rsidRPr="0030543B">
        <w:rPr>
          <w:sz w:val="28"/>
          <w:szCs w:val="28"/>
        </w:rPr>
        <w:t>Проведення тренувань і змагань є важливою формою підвищення професійної майстерності персоналу ДП «НАЕК «Енергоатом».</w:t>
      </w:r>
    </w:p>
    <w:p w:rsidR="00243369" w:rsidRPr="00243369" w:rsidRDefault="00243369" w:rsidP="00243369">
      <w:pPr>
        <w:ind w:firstLine="567"/>
        <w:jc w:val="both"/>
        <w:rPr>
          <w:spacing w:val="0"/>
          <w:sz w:val="28"/>
          <w:szCs w:val="28"/>
        </w:rPr>
      </w:pPr>
      <w:r w:rsidRPr="00243369">
        <w:rPr>
          <w:spacing w:val="0"/>
          <w:sz w:val="28"/>
          <w:szCs w:val="28"/>
        </w:rPr>
        <w:t>У 2018 році, згідно з рекомендацією Міжнародної організації праці та, Міністерства енергетики та вугільної промисловості України в Компанії був проведений Всесвітній День охорони праці</w:t>
      </w:r>
      <w:r w:rsidRPr="00243369">
        <w:rPr>
          <w:b/>
          <w:spacing w:val="0"/>
          <w:sz w:val="28"/>
          <w:szCs w:val="28"/>
        </w:rPr>
        <w:t xml:space="preserve"> </w:t>
      </w:r>
      <w:r w:rsidRPr="00243369">
        <w:rPr>
          <w:spacing w:val="0"/>
          <w:sz w:val="28"/>
          <w:szCs w:val="28"/>
        </w:rPr>
        <w:t>під девізом «Захищене і здорове покоління».</w:t>
      </w:r>
      <w:r w:rsidRPr="00243369">
        <w:rPr>
          <w:sz w:val="28"/>
          <w:szCs w:val="28"/>
        </w:rPr>
        <w:t xml:space="preserve"> </w:t>
      </w:r>
    </w:p>
    <w:p w:rsidR="008E3FED" w:rsidRDefault="00243369" w:rsidP="008E3FED">
      <w:pPr>
        <w:tabs>
          <w:tab w:val="left" w:pos="851"/>
        </w:tabs>
        <w:ind w:firstLine="539"/>
        <w:jc w:val="both"/>
        <w:rPr>
          <w:sz w:val="28"/>
          <w:szCs w:val="28"/>
        </w:rPr>
      </w:pPr>
      <w:r w:rsidRPr="00243369">
        <w:rPr>
          <w:sz w:val="28"/>
          <w:szCs w:val="28"/>
        </w:rPr>
        <w:t xml:space="preserve">За результатами Дня охорони праці проведені підсумкові наради, визначені кращі виробничі підрозділи та кращі працівники, спеціалісти з охорони праці та профспілкові активісти для відзначення їх відповідними нагородами в установленому в ДП «НАЕК «Енергоатом»  порядку. </w:t>
      </w:r>
    </w:p>
    <w:p w:rsidR="008E3FED" w:rsidRPr="00243369" w:rsidRDefault="008E3FED" w:rsidP="008E3FED">
      <w:pPr>
        <w:tabs>
          <w:tab w:val="left" w:pos="851"/>
        </w:tabs>
        <w:ind w:firstLine="539"/>
        <w:jc w:val="both"/>
        <w:rPr>
          <w:i/>
          <w:spacing w:val="0"/>
          <w:sz w:val="28"/>
          <w:szCs w:val="28"/>
        </w:rPr>
      </w:pPr>
      <w:r w:rsidRPr="00243369">
        <w:rPr>
          <w:b/>
          <w:i/>
          <w:spacing w:val="0"/>
          <w:sz w:val="28"/>
          <w:szCs w:val="28"/>
        </w:rPr>
        <w:t>Довідково:</w:t>
      </w:r>
      <w:r w:rsidRPr="00243369">
        <w:rPr>
          <w:i/>
          <w:spacing w:val="0"/>
          <w:sz w:val="28"/>
          <w:szCs w:val="28"/>
        </w:rPr>
        <w:t xml:space="preserve"> в 2018 році ВП «</w:t>
      </w:r>
      <w:proofErr w:type="spellStart"/>
      <w:r w:rsidRPr="00243369">
        <w:rPr>
          <w:i/>
          <w:spacing w:val="0"/>
          <w:sz w:val="28"/>
          <w:szCs w:val="28"/>
        </w:rPr>
        <w:t>Атомремонтсервіс</w:t>
      </w:r>
      <w:proofErr w:type="spellEnd"/>
      <w:r w:rsidRPr="00243369">
        <w:rPr>
          <w:i/>
          <w:spacing w:val="0"/>
          <w:sz w:val="28"/>
          <w:szCs w:val="28"/>
        </w:rPr>
        <w:t>» визнано переможцем Всеукраїнського конкурсу «Краще підприємство з охорони праці» з категорії «від 250 працівників» у номінації «Діяльність у сфері виробництва електроенергії та зв’язку».</w:t>
      </w:r>
    </w:p>
    <w:p w:rsidR="008E3FED" w:rsidRPr="00243369" w:rsidRDefault="008E3FED" w:rsidP="008E3FED">
      <w:pPr>
        <w:tabs>
          <w:tab w:val="left" w:pos="851"/>
        </w:tabs>
        <w:ind w:firstLine="539"/>
        <w:jc w:val="both"/>
        <w:rPr>
          <w:i/>
          <w:spacing w:val="0"/>
          <w:sz w:val="28"/>
          <w:szCs w:val="28"/>
        </w:rPr>
      </w:pPr>
      <w:r w:rsidRPr="00243369">
        <w:rPr>
          <w:i/>
          <w:spacing w:val="0"/>
          <w:sz w:val="28"/>
          <w:szCs w:val="28"/>
        </w:rPr>
        <w:t xml:space="preserve"> У 2017 році «Кращим підприємством з охорони праці» в Україні було визнано ВП «Хмельницька АЕС».</w:t>
      </w:r>
    </w:p>
    <w:p w:rsidR="008E3FED" w:rsidRDefault="00243369" w:rsidP="00243369">
      <w:pPr>
        <w:pStyle w:val="a8"/>
        <w:tabs>
          <w:tab w:val="clear" w:pos="567"/>
        </w:tabs>
        <w:rPr>
          <w:spacing w:val="-2"/>
          <w:sz w:val="28"/>
          <w:szCs w:val="28"/>
        </w:rPr>
      </w:pPr>
      <w:r w:rsidRPr="00243369">
        <w:rPr>
          <w:spacing w:val="-2"/>
          <w:sz w:val="28"/>
          <w:szCs w:val="28"/>
        </w:rPr>
        <w:t>На підприємстві проводиться постійна роз’яснювальна робота серед персоналу про життєву необхідність уважного ставлення до власного здоров’я, об’єктивної оцінки стану самопочуття</w:t>
      </w:r>
      <w:r w:rsidRPr="00243369">
        <w:rPr>
          <w:sz w:val="28"/>
          <w:szCs w:val="28"/>
        </w:rPr>
        <w:t>, своєчасного звернення за допомогою до лікаря</w:t>
      </w:r>
      <w:r w:rsidRPr="00243369">
        <w:rPr>
          <w:spacing w:val="-2"/>
          <w:sz w:val="28"/>
          <w:szCs w:val="28"/>
        </w:rPr>
        <w:t xml:space="preserve">. </w:t>
      </w:r>
    </w:p>
    <w:p w:rsidR="00243369" w:rsidRPr="00243369" w:rsidRDefault="00243369" w:rsidP="00243369">
      <w:pPr>
        <w:pStyle w:val="a8"/>
        <w:tabs>
          <w:tab w:val="clear" w:pos="567"/>
        </w:tabs>
        <w:rPr>
          <w:sz w:val="28"/>
          <w:szCs w:val="28"/>
        </w:rPr>
      </w:pPr>
      <w:r w:rsidRPr="00243369">
        <w:rPr>
          <w:spacing w:val="-2"/>
          <w:sz w:val="28"/>
          <w:szCs w:val="28"/>
        </w:rPr>
        <w:t>У</w:t>
      </w:r>
      <w:r w:rsidRPr="00243369">
        <w:rPr>
          <w:sz w:val="28"/>
          <w:szCs w:val="28"/>
        </w:rPr>
        <w:t xml:space="preserve"> 2018 році в ДП «НАЕК «Енергоатом</w:t>
      </w:r>
      <w:r w:rsidRPr="00243369">
        <w:rPr>
          <w:sz w:val="28"/>
          <w:szCs w:val="28"/>
          <w:lang w:eastAsia="uk-UA"/>
        </w:rPr>
        <w:t>»</w:t>
      </w:r>
      <w:r w:rsidRPr="00243369">
        <w:rPr>
          <w:sz w:val="28"/>
          <w:szCs w:val="28"/>
        </w:rPr>
        <w:t xml:space="preserve"> не зареєстровано профзахворювань, аварій, а також групових і смертельних нещасних випадків, пов’язаних з виробництвом.</w:t>
      </w:r>
    </w:p>
    <w:p w:rsidR="00243369" w:rsidRPr="00243369" w:rsidRDefault="00243369" w:rsidP="00243369">
      <w:pPr>
        <w:pStyle w:val="a8"/>
        <w:tabs>
          <w:tab w:val="clear" w:pos="567"/>
        </w:tabs>
        <w:rPr>
          <w:sz w:val="28"/>
          <w:szCs w:val="28"/>
        </w:rPr>
      </w:pPr>
      <w:r w:rsidRPr="00243369">
        <w:rPr>
          <w:sz w:val="28"/>
          <w:szCs w:val="28"/>
        </w:rPr>
        <w:t>У звітному році зареєстровано 7 нещасних випадків, пов’язаних з виробництвом:   5 – у ВП «Запорізька АЕС» та по одному – у ВП «</w:t>
      </w:r>
      <w:proofErr w:type="spellStart"/>
      <w:r w:rsidRPr="00243369">
        <w:rPr>
          <w:sz w:val="28"/>
          <w:szCs w:val="28"/>
        </w:rPr>
        <w:t>Южно</w:t>
      </w:r>
      <w:proofErr w:type="spellEnd"/>
      <w:r w:rsidRPr="00243369">
        <w:rPr>
          <w:sz w:val="28"/>
          <w:szCs w:val="28"/>
        </w:rPr>
        <w:t>-Українська АЕС» і ВП «</w:t>
      </w:r>
      <w:proofErr w:type="spellStart"/>
      <w:r w:rsidRPr="00243369">
        <w:rPr>
          <w:sz w:val="28"/>
          <w:szCs w:val="28"/>
        </w:rPr>
        <w:t>Атоменергомаш</w:t>
      </w:r>
      <w:proofErr w:type="spellEnd"/>
      <w:r w:rsidRPr="00243369">
        <w:rPr>
          <w:sz w:val="28"/>
          <w:szCs w:val="28"/>
        </w:rPr>
        <w:t xml:space="preserve">». </w:t>
      </w:r>
    </w:p>
    <w:p w:rsidR="00D71344" w:rsidRPr="0030543B" w:rsidRDefault="00D71344" w:rsidP="00D71344">
      <w:pPr>
        <w:ind w:firstLine="567"/>
        <w:jc w:val="both"/>
        <w:rPr>
          <w:color w:val="000000"/>
          <w:spacing w:val="0"/>
          <w:sz w:val="28"/>
          <w:szCs w:val="28"/>
        </w:rPr>
      </w:pPr>
    </w:p>
    <w:p w:rsidR="00D71344" w:rsidRPr="0030543B" w:rsidRDefault="00D71344" w:rsidP="00D71344">
      <w:pPr>
        <w:ind w:firstLine="567"/>
        <w:jc w:val="both"/>
        <w:rPr>
          <w:color w:val="000000"/>
          <w:spacing w:val="0"/>
          <w:sz w:val="28"/>
          <w:szCs w:val="28"/>
        </w:rPr>
      </w:pPr>
    </w:p>
    <w:p w:rsidR="008E3FED" w:rsidRDefault="008E3FED" w:rsidP="00D71344">
      <w:pPr>
        <w:ind w:firstLine="567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br w:type="page"/>
      </w:r>
    </w:p>
    <w:p w:rsidR="00843C51" w:rsidRDefault="00843C51" w:rsidP="008E3FED">
      <w:pPr>
        <w:pStyle w:val="a8"/>
        <w:tabs>
          <w:tab w:val="clear" w:pos="567"/>
          <w:tab w:val="left" w:pos="8647"/>
        </w:tabs>
        <w:spacing w:before="60"/>
        <w:rPr>
          <w:sz w:val="28"/>
          <w:szCs w:val="28"/>
        </w:rPr>
      </w:pPr>
    </w:p>
    <w:p w:rsidR="008E3FED" w:rsidRPr="008E3FED" w:rsidRDefault="00843C51" w:rsidP="008E3FED">
      <w:pPr>
        <w:pStyle w:val="a8"/>
        <w:tabs>
          <w:tab w:val="clear" w:pos="567"/>
          <w:tab w:val="left" w:pos="8647"/>
        </w:tabs>
        <w:spacing w:before="60"/>
        <w:rPr>
          <w:sz w:val="28"/>
          <w:szCs w:val="28"/>
        </w:rPr>
      </w:pPr>
      <w:r w:rsidRPr="00E9768D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26CE217" wp14:editId="062A70B0">
            <wp:simplePos x="0" y="0"/>
            <wp:positionH relativeFrom="column">
              <wp:posOffset>-159385</wp:posOffset>
            </wp:positionH>
            <wp:positionV relativeFrom="paragraph">
              <wp:posOffset>713740</wp:posOffset>
            </wp:positionV>
            <wp:extent cx="6438900" cy="7967980"/>
            <wp:effectExtent l="0" t="0" r="0" b="0"/>
            <wp:wrapTopAndBottom/>
            <wp:docPr id="12" name="Діагра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FED" w:rsidRPr="008E3FED">
        <w:rPr>
          <w:sz w:val="28"/>
          <w:szCs w:val="28"/>
        </w:rPr>
        <w:t xml:space="preserve">Порівняння стану виробничого травматизму на підприємствах енергетичної галузі </w:t>
      </w:r>
      <w:proofErr w:type="spellStart"/>
      <w:r w:rsidR="008E3FED" w:rsidRPr="008E3FED">
        <w:rPr>
          <w:sz w:val="28"/>
          <w:szCs w:val="28"/>
        </w:rPr>
        <w:t>Міненерговугілля</w:t>
      </w:r>
      <w:proofErr w:type="spellEnd"/>
      <w:r w:rsidR="008E3FED" w:rsidRPr="008E3FED">
        <w:rPr>
          <w:sz w:val="28"/>
          <w:szCs w:val="28"/>
        </w:rPr>
        <w:t xml:space="preserve"> України з виробничим травматизмом у ДП</w:t>
      </w:r>
      <w:r>
        <w:rPr>
          <w:sz w:val="28"/>
          <w:szCs w:val="28"/>
        </w:rPr>
        <w:t> </w:t>
      </w:r>
      <w:r w:rsidR="008E3FED" w:rsidRPr="008E3FED">
        <w:rPr>
          <w:sz w:val="28"/>
          <w:szCs w:val="28"/>
        </w:rPr>
        <w:t>«НАЕК</w:t>
      </w:r>
      <w:r>
        <w:rPr>
          <w:sz w:val="28"/>
          <w:szCs w:val="28"/>
        </w:rPr>
        <w:t> </w:t>
      </w:r>
      <w:r w:rsidR="008E3FED" w:rsidRPr="008E3FED">
        <w:rPr>
          <w:sz w:val="28"/>
          <w:szCs w:val="28"/>
        </w:rPr>
        <w:t>«Енергоатом» за період 1999-2018 роки подане на діаграмі:</w:t>
      </w:r>
    </w:p>
    <w:p w:rsidR="00843C51" w:rsidRDefault="008E3FED" w:rsidP="008E3FED">
      <w:pPr>
        <w:pStyle w:val="a8"/>
        <w:tabs>
          <w:tab w:val="clear" w:pos="567"/>
        </w:tabs>
        <w:ind w:firstLine="0"/>
        <w:rPr>
          <w:i/>
        </w:rPr>
      </w:pPr>
      <w:r w:rsidRPr="00E9768D">
        <w:rPr>
          <w:i/>
        </w:rPr>
        <w:br w:type="page"/>
      </w:r>
      <w:r>
        <w:rPr>
          <w:i/>
        </w:rPr>
        <w:lastRenderedPageBreak/>
        <w:t xml:space="preserve">         </w:t>
      </w:r>
    </w:p>
    <w:p w:rsidR="008E3FED" w:rsidRDefault="008E3FED" w:rsidP="00843C51">
      <w:pPr>
        <w:pStyle w:val="a8"/>
        <w:tabs>
          <w:tab w:val="clear" w:pos="567"/>
        </w:tabs>
        <w:ind w:firstLine="284"/>
      </w:pPr>
      <w:r w:rsidRPr="00843C51">
        <w:rPr>
          <w:sz w:val="28"/>
          <w:szCs w:val="28"/>
        </w:rPr>
        <w:t xml:space="preserve">Порівняння кількості нещасних випадків із смертельним наслідком в енергетичній галузі </w:t>
      </w:r>
      <w:proofErr w:type="spellStart"/>
      <w:r w:rsidRPr="00843C51">
        <w:rPr>
          <w:sz w:val="28"/>
          <w:szCs w:val="28"/>
        </w:rPr>
        <w:t>Міненерговугілля</w:t>
      </w:r>
      <w:proofErr w:type="spellEnd"/>
      <w:r w:rsidRPr="00843C51">
        <w:rPr>
          <w:sz w:val="28"/>
          <w:szCs w:val="28"/>
        </w:rPr>
        <w:t xml:space="preserve"> України та в ДП</w:t>
      </w:r>
      <w:r w:rsidR="00843C51">
        <w:rPr>
          <w:sz w:val="28"/>
          <w:szCs w:val="28"/>
        </w:rPr>
        <w:t> </w:t>
      </w:r>
      <w:r w:rsidRPr="00843C51">
        <w:rPr>
          <w:sz w:val="28"/>
          <w:szCs w:val="28"/>
        </w:rPr>
        <w:t>«НАЕК</w:t>
      </w:r>
      <w:r w:rsidR="00843C51">
        <w:rPr>
          <w:sz w:val="28"/>
          <w:szCs w:val="28"/>
        </w:rPr>
        <w:t> </w:t>
      </w:r>
      <w:r w:rsidRPr="00843C51">
        <w:rPr>
          <w:sz w:val="28"/>
          <w:szCs w:val="28"/>
        </w:rPr>
        <w:t xml:space="preserve">«Енергоатом» за </w:t>
      </w:r>
      <w:r w:rsidRPr="00843C51">
        <w:rPr>
          <w:i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 wp14:anchorId="2531CBBB" wp14:editId="02619CD4">
            <wp:simplePos x="0" y="0"/>
            <wp:positionH relativeFrom="column">
              <wp:posOffset>-48895</wp:posOffset>
            </wp:positionH>
            <wp:positionV relativeFrom="paragraph">
              <wp:posOffset>624205</wp:posOffset>
            </wp:positionV>
            <wp:extent cx="6213475" cy="8199120"/>
            <wp:effectExtent l="0" t="0" r="0" b="0"/>
            <wp:wrapTopAndBottom/>
            <wp:docPr id="11" name="Діагра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C51">
        <w:rPr>
          <w:sz w:val="28"/>
          <w:szCs w:val="28"/>
        </w:rPr>
        <w:t>період 1999-2018 роки подане на діаграмі</w:t>
      </w:r>
      <w:r w:rsidRPr="00E9768D">
        <w:t>:</w:t>
      </w:r>
    </w:p>
    <w:p w:rsidR="00843C51" w:rsidRDefault="00843C51" w:rsidP="008E3FED">
      <w:pPr>
        <w:pStyle w:val="a8"/>
        <w:tabs>
          <w:tab w:val="clear" w:pos="567"/>
        </w:tabs>
      </w:pPr>
    </w:p>
    <w:p w:rsidR="00843C51" w:rsidRDefault="00843C51" w:rsidP="008E3FED">
      <w:pPr>
        <w:pStyle w:val="a8"/>
        <w:tabs>
          <w:tab w:val="clear" w:pos="567"/>
        </w:tabs>
        <w:rPr>
          <w:sz w:val="28"/>
          <w:szCs w:val="28"/>
        </w:rPr>
      </w:pPr>
    </w:p>
    <w:p w:rsidR="008E3FED" w:rsidRPr="00843C51" w:rsidRDefault="008E3FED" w:rsidP="008E3FED">
      <w:pPr>
        <w:pStyle w:val="a8"/>
        <w:tabs>
          <w:tab w:val="clear" w:pos="567"/>
        </w:tabs>
        <w:rPr>
          <w:sz w:val="28"/>
          <w:szCs w:val="28"/>
        </w:rPr>
      </w:pPr>
      <w:r w:rsidRPr="00843C51">
        <w:rPr>
          <w:sz w:val="28"/>
          <w:szCs w:val="28"/>
        </w:rPr>
        <w:lastRenderedPageBreak/>
        <w:t xml:space="preserve">Порівняння кількості групових нещасних випадків в енергетичній галузі </w:t>
      </w:r>
      <w:proofErr w:type="spellStart"/>
      <w:r w:rsidRPr="00843C51">
        <w:rPr>
          <w:sz w:val="28"/>
          <w:szCs w:val="28"/>
        </w:rPr>
        <w:t>Міненерговугілля</w:t>
      </w:r>
      <w:proofErr w:type="spellEnd"/>
      <w:r w:rsidRPr="00843C51">
        <w:rPr>
          <w:sz w:val="28"/>
          <w:szCs w:val="28"/>
        </w:rPr>
        <w:t xml:space="preserve"> України та в ДП «НАЕК «Енергоатом» за період 1999-2018 роки подане на діаграмі:</w:t>
      </w:r>
    </w:p>
    <w:p w:rsidR="008E3FED" w:rsidRPr="00843C51" w:rsidRDefault="008E3FED" w:rsidP="008E3FED">
      <w:pPr>
        <w:pStyle w:val="a8"/>
        <w:tabs>
          <w:tab w:val="clear" w:pos="567"/>
        </w:tabs>
        <w:rPr>
          <w:sz w:val="28"/>
          <w:szCs w:val="28"/>
        </w:rPr>
      </w:pPr>
    </w:p>
    <w:p w:rsidR="008E3FED" w:rsidRDefault="008E3FED" w:rsidP="008E3FED">
      <w:r w:rsidRPr="00E9768D">
        <w:rPr>
          <w:i/>
          <w:noProof/>
          <w:lang w:eastAsia="uk-UA"/>
        </w:rPr>
        <w:drawing>
          <wp:anchor distT="0" distB="0" distL="114300" distR="114300" simplePos="0" relativeHeight="251661312" behindDoc="0" locked="0" layoutInCell="1" allowOverlap="1" wp14:anchorId="75CA26F6" wp14:editId="6745A32E">
            <wp:simplePos x="0" y="0"/>
            <wp:positionH relativeFrom="column">
              <wp:posOffset>-48895</wp:posOffset>
            </wp:positionH>
            <wp:positionV relativeFrom="paragraph">
              <wp:posOffset>186690</wp:posOffset>
            </wp:positionV>
            <wp:extent cx="6311900" cy="7969250"/>
            <wp:effectExtent l="0" t="0" r="0" b="0"/>
            <wp:wrapTopAndBottom/>
            <wp:docPr id="10" name="Діагра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68D">
        <w:rPr>
          <w:i/>
          <w:caps/>
        </w:rPr>
        <w:br w:type="page"/>
      </w:r>
    </w:p>
    <w:p w:rsidR="00D71344" w:rsidRPr="0030543B" w:rsidRDefault="00D71344" w:rsidP="00D71344">
      <w:pPr>
        <w:pStyle w:val="2"/>
        <w:rPr>
          <w:sz w:val="28"/>
          <w:szCs w:val="28"/>
        </w:rPr>
      </w:pPr>
      <w:r w:rsidRPr="0030543B">
        <w:rPr>
          <w:sz w:val="28"/>
          <w:szCs w:val="28"/>
        </w:rPr>
        <w:lastRenderedPageBreak/>
        <w:t xml:space="preserve">РЕЗУЛЬТАТИ РОБОТИ З ОХОРОНИ ПРАЦІ </w:t>
      </w:r>
    </w:p>
    <w:p w:rsidR="00D71344" w:rsidRPr="0030543B" w:rsidRDefault="00D71344" w:rsidP="00D71344">
      <w:pPr>
        <w:pStyle w:val="2"/>
        <w:rPr>
          <w:b w:val="0"/>
          <w:sz w:val="28"/>
          <w:szCs w:val="28"/>
        </w:rPr>
      </w:pPr>
      <w:r w:rsidRPr="0030543B">
        <w:rPr>
          <w:sz w:val="28"/>
          <w:szCs w:val="28"/>
        </w:rPr>
        <w:t>В ДП «НАЕК «</w:t>
      </w:r>
      <w:r w:rsidRPr="0030543B">
        <w:rPr>
          <w:bCs/>
          <w:color w:val="000000"/>
          <w:sz w:val="28"/>
          <w:szCs w:val="28"/>
        </w:rPr>
        <w:t>СХІДГЗК</w:t>
      </w:r>
      <w:r w:rsidRPr="0030543B">
        <w:rPr>
          <w:sz w:val="28"/>
          <w:szCs w:val="28"/>
        </w:rPr>
        <w:t>» ЗА  2018 РІК</w:t>
      </w:r>
    </w:p>
    <w:p w:rsidR="00D71344" w:rsidRPr="0030543B" w:rsidRDefault="00D71344" w:rsidP="00D71344">
      <w:pPr>
        <w:shd w:val="clear" w:color="auto" w:fill="FFFFFF"/>
        <w:rPr>
          <w:b/>
          <w:sz w:val="28"/>
          <w:szCs w:val="28"/>
        </w:rPr>
      </w:pPr>
    </w:p>
    <w:p w:rsidR="00442FA9" w:rsidRDefault="00D71344" w:rsidP="00442FA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0543B">
        <w:rPr>
          <w:color w:val="000000"/>
          <w:sz w:val="28"/>
          <w:szCs w:val="28"/>
        </w:rPr>
        <w:t>З метою реалізації вимог законодавства України щодо забезпечення охорони життя і здоров'я працівників у процесі трудової діяльності, створення безпечних і нешкідливих умов праці на робочому місці</w:t>
      </w:r>
      <w:r w:rsidR="009E210B">
        <w:rPr>
          <w:color w:val="000000"/>
          <w:sz w:val="28"/>
          <w:szCs w:val="28"/>
        </w:rPr>
        <w:t>;</w:t>
      </w:r>
      <w:r w:rsidRPr="0030543B">
        <w:rPr>
          <w:color w:val="000000"/>
          <w:sz w:val="28"/>
          <w:szCs w:val="28"/>
        </w:rPr>
        <w:t xml:space="preserve"> формування у працівників свідомого ставлення до особистої безпеки</w:t>
      </w:r>
      <w:r w:rsidR="009E210B">
        <w:rPr>
          <w:color w:val="000000"/>
          <w:sz w:val="28"/>
          <w:szCs w:val="28"/>
        </w:rPr>
        <w:t>,</w:t>
      </w:r>
      <w:r w:rsidRPr="0030543B">
        <w:rPr>
          <w:color w:val="000000"/>
          <w:sz w:val="28"/>
          <w:szCs w:val="28"/>
        </w:rPr>
        <w:t xml:space="preserve"> організація роботи з охорони праці </w:t>
      </w:r>
      <w:r w:rsidR="005C11B5" w:rsidRPr="0030543B">
        <w:rPr>
          <w:color w:val="000000"/>
          <w:sz w:val="28"/>
          <w:szCs w:val="28"/>
        </w:rPr>
        <w:t>на ДП</w:t>
      </w:r>
      <w:r w:rsidR="005C11B5">
        <w:rPr>
          <w:color w:val="000000"/>
          <w:sz w:val="28"/>
          <w:szCs w:val="28"/>
        </w:rPr>
        <w:t> </w:t>
      </w:r>
      <w:r w:rsidR="005C11B5" w:rsidRPr="0030543B">
        <w:rPr>
          <w:color w:val="000000"/>
          <w:sz w:val="28"/>
          <w:szCs w:val="28"/>
        </w:rPr>
        <w:t>«</w:t>
      </w:r>
      <w:proofErr w:type="spellStart"/>
      <w:r w:rsidR="005C11B5" w:rsidRPr="0030543B">
        <w:rPr>
          <w:color w:val="000000"/>
          <w:sz w:val="28"/>
          <w:szCs w:val="28"/>
        </w:rPr>
        <w:t>СхідГЗК</w:t>
      </w:r>
      <w:proofErr w:type="spellEnd"/>
      <w:r w:rsidR="005C11B5" w:rsidRPr="0030543B">
        <w:rPr>
          <w:color w:val="000000"/>
          <w:sz w:val="28"/>
          <w:szCs w:val="28"/>
        </w:rPr>
        <w:t xml:space="preserve">». </w:t>
      </w:r>
      <w:r w:rsidRPr="0030543B">
        <w:rPr>
          <w:color w:val="000000"/>
          <w:sz w:val="28"/>
          <w:szCs w:val="28"/>
        </w:rPr>
        <w:t xml:space="preserve">здійснюється відповідно до діючого на підприємстві Положення про </w:t>
      </w:r>
      <w:r w:rsidR="005C11B5">
        <w:rPr>
          <w:color w:val="000000"/>
          <w:sz w:val="28"/>
          <w:szCs w:val="28"/>
        </w:rPr>
        <w:t>С</w:t>
      </w:r>
      <w:r w:rsidRPr="0030543B">
        <w:rPr>
          <w:color w:val="000000"/>
          <w:sz w:val="28"/>
          <w:szCs w:val="28"/>
        </w:rPr>
        <w:t>истему управління охороною праці</w:t>
      </w:r>
      <w:r w:rsidR="005C11B5">
        <w:rPr>
          <w:color w:val="000000"/>
          <w:sz w:val="28"/>
          <w:szCs w:val="28"/>
        </w:rPr>
        <w:t>.</w:t>
      </w:r>
      <w:r w:rsidRPr="0030543B">
        <w:rPr>
          <w:color w:val="000000"/>
          <w:sz w:val="28"/>
          <w:szCs w:val="28"/>
        </w:rPr>
        <w:t xml:space="preserve"> </w:t>
      </w:r>
      <w:r w:rsidR="005C11B5">
        <w:rPr>
          <w:color w:val="000000"/>
          <w:sz w:val="28"/>
          <w:szCs w:val="28"/>
        </w:rPr>
        <w:t>СУОП</w:t>
      </w:r>
      <w:r w:rsidRPr="0030543B">
        <w:rPr>
          <w:color w:val="000000"/>
          <w:sz w:val="28"/>
          <w:szCs w:val="28"/>
        </w:rPr>
        <w:t xml:space="preserve"> функціонує відповідно до вимог статті 13 Закону України «Про охорону прац</w:t>
      </w:r>
      <w:r w:rsidR="00707535">
        <w:rPr>
          <w:color w:val="000000"/>
          <w:sz w:val="28"/>
          <w:szCs w:val="28"/>
        </w:rPr>
        <w:t>і»</w:t>
      </w:r>
      <w:r w:rsidR="005C11B5">
        <w:rPr>
          <w:color w:val="000000"/>
          <w:sz w:val="28"/>
          <w:szCs w:val="28"/>
        </w:rPr>
        <w:t xml:space="preserve"> та</w:t>
      </w:r>
      <w:r w:rsidR="00707535">
        <w:rPr>
          <w:color w:val="000000"/>
          <w:sz w:val="28"/>
          <w:szCs w:val="28"/>
        </w:rPr>
        <w:t xml:space="preserve"> водночас має н</w:t>
      </w:r>
      <w:r w:rsidRPr="0030543B">
        <w:rPr>
          <w:sz w:val="28"/>
          <w:szCs w:val="28"/>
        </w:rPr>
        <w:t>ов</w:t>
      </w:r>
      <w:r w:rsidR="00707535">
        <w:rPr>
          <w:sz w:val="28"/>
          <w:szCs w:val="28"/>
        </w:rPr>
        <w:t>изну</w:t>
      </w:r>
      <w:r w:rsidRPr="0030543B">
        <w:rPr>
          <w:sz w:val="28"/>
          <w:szCs w:val="28"/>
        </w:rPr>
        <w:t xml:space="preserve"> підходу</w:t>
      </w:r>
      <w:r w:rsidR="00707535">
        <w:rPr>
          <w:sz w:val="28"/>
          <w:szCs w:val="28"/>
        </w:rPr>
        <w:t>, який</w:t>
      </w:r>
      <w:r w:rsidRPr="0030543B">
        <w:rPr>
          <w:sz w:val="28"/>
          <w:szCs w:val="28"/>
        </w:rPr>
        <w:t xml:space="preserve"> полягає в тому, що саме на підставі аналізу ризиків встановлюється мета, направлена на рішення проблемних питань з охорони праці і визначаються завдання, встановлюються терміни їх виконання.</w:t>
      </w:r>
      <w:r w:rsidR="00442FA9" w:rsidRPr="00442FA9">
        <w:rPr>
          <w:color w:val="000000"/>
          <w:sz w:val="28"/>
          <w:szCs w:val="28"/>
        </w:rPr>
        <w:t xml:space="preserve"> </w:t>
      </w:r>
    </w:p>
    <w:p w:rsidR="00442FA9" w:rsidRPr="0030543B" w:rsidRDefault="00442FA9" w:rsidP="00442FA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0543B">
        <w:rPr>
          <w:color w:val="000000"/>
          <w:sz w:val="28"/>
          <w:szCs w:val="28"/>
        </w:rPr>
        <w:t xml:space="preserve">За участю трудових колективів та адміністрації підприємства розроблено Колективний договір, реалізуються «Комплексні заходи для досягнення встановлених нормативів і підвищення існуючого рівня охорони праці». </w:t>
      </w:r>
    </w:p>
    <w:p w:rsidR="00707535" w:rsidRPr="0030543B" w:rsidRDefault="00707535" w:rsidP="00707535">
      <w:pPr>
        <w:shd w:val="clear" w:color="auto" w:fill="FFFFFF"/>
        <w:ind w:firstLine="709"/>
        <w:jc w:val="both"/>
        <w:rPr>
          <w:sz w:val="28"/>
          <w:szCs w:val="28"/>
        </w:rPr>
      </w:pPr>
      <w:r w:rsidRPr="0030543B">
        <w:rPr>
          <w:sz w:val="28"/>
          <w:szCs w:val="28"/>
        </w:rPr>
        <w:t xml:space="preserve">У рамках напрямку роботи служби охорони праці на </w:t>
      </w:r>
      <w:r w:rsidRPr="0030543B">
        <w:rPr>
          <w:b/>
          <w:sz w:val="28"/>
          <w:szCs w:val="28"/>
        </w:rPr>
        <w:t>ДП «</w:t>
      </w:r>
      <w:proofErr w:type="spellStart"/>
      <w:r w:rsidRPr="0030543B">
        <w:rPr>
          <w:b/>
          <w:sz w:val="28"/>
          <w:szCs w:val="28"/>
        </w:rPr>
        <w:t>СхідГЗК</w:t>
      </w:r>
      <w:proofErr w:type="spellEnd"/>
      <w:r w:rsidRPr="0030543B">
        <w:rPr>
          <w:b/>
          <w:sz w:val="28"/>
          <w:szCs w:val="28"/>
        </w:rPr>
        <w:t>»,</w:t>
      </w:r>
      <w:r w:rsidRPr="0030543B">
        <w:rPr>
          <w:sz w:val="28"/>
          <w:szCs w:val="28"/>
        </w:rPr>
        <w:t xml:space="preserve"> з впровадження вимог міжнародних стандартів </w:t>
      </w:r>
      <w:r w:rsidRPr="0030543B">
        <w:rPr>
          <w:sz w:val="28"/>
          <w:szCs w:val="28"/>
          <w:lang w:val="en-US"/>
        </w:rPr>
        <w:t>OHSAS</w:t>
      </w:r>
      <w:r w:rsidRPr="0030543B">
        <w:rPr>
          <w:sz w:val="28"/>
          <w:szCs w:val="28"/>
        </w:rPr>
        <w:t xml:space="preserve"> 18001 і </w:t>
      </w:r>
      <w:r w:rsidRPr="0030543B">
        <w:rPr>
          <w:sz w:val="28"/>
          <w:szCs w:val="28"/>
          <w:lang w:val="en-US"/>
        </w:rPr>
        <w:t>ISO</w:t>
      </w:r>
      <w:r w:rsidRPr="0030543B">
        <w:rPr>
          <w:sz w:val="28"/>
          <w:szCs w:val="28"/>
        </w:rPr>
        <w:t xml:space="preserve"> 9001, на запрошення Федерації роботодавців гірників України, представники служби охорони  праці підприємства приймали участь  у проекті « Поліпшення стану безпеки та гігієни праці у гірничодобувній промисловості України», який за підтримки Міжнародної організації праці розпочато у 2018 році. </w:t>
      </w:r>
      <w:r>
        <w:rPr>
          <w:sz w:val="28"/>
          <w:szCs w:val="28"/>
        </w:rPr>
        <w:t>У</w:t>
      </w:r>
      <w:r w:rsidRPr="0030543B">
        <w:rPr>
          <w:sz w:val="28"/>
          <w:szCs w:val="28"/>
        </w:rPr>
        <w:t xml:space="preserve"> рамках проекту міжнародні та національні експерти протягом року проводили тренінги для фахівців з оцінки виробничих ризиків на об’єктах гірничодобувної галузі.   </w:t>
      </w:r>
    </w:p>
    <w:p w:rsidR="00707535" w:rsidRPr="0030543B" w:rsidRDefault="00707535" w:rsidP="00707535">
      <w:pPr>
        <w:shd w:val="clear" w:color="auto" w:fill="FFFFFF"/>
        <w:ind w:firstLine="709"/>
        <w:jc w:val="both"/>
        <w:rPr>
          <w:sz w:val="28"/>
          <w:szCs w:val="28"/>
        </w:rPr>
      </w:pPr>
      <w:r w:rsidRPr="0030543B">
        <w:rPr>
          <w:color w:val="000000"/>
          <w:sz w:val="28"/>
          <w:szCs w:val="28"/>
        </w:rPr>
        <w:t xml:space="preserve">На підставі отриманих методичних рекомендацій від експертів МОП та з метою поступового переходу управління охороною праці на основі ризик – орієнтованому підходу, відповідно до вимог  </w:t>
      </w:r>
      <w:r w:rsidRPr="0030543B">
        <w:rPr>
          <w:sz w:val="28"/>
          <w:szCs w:val="28"/>
        </w:rPr>
        <w:t xml:space="preserve">міжнародних стандартів </w:t>
      </w:r>
      <w:r w:rsidRPr="0030543B">
        <w:rPr>
          <w:sz w:val="28"/>
          <w:szCs w:val="28"/>
          <w:lang w:val="en-US"/>
        </w:rPr>
        <w:t>OHSAS</w:t>
      </w:r>
      <w:r w:rsidRPr="0030543B">
        <w:rPr>
          <w:sz w:val="28"/>
          <w:szCs w:val="28"/>
        </w:rPr>
        <w:t xml:space="preserve"> 18001 і  </w:t>
      </w:r>
      <w:r w:rsidRPr="0030543B">
        <w:rPr>
          <w:sz w:val="28"/>
          <w:szCs w:val="28"/>
          <w:lang w:val="en-US"/>
        </w:rPr>
        <w:t>ISO</w:t>
      </w:r>
      <w:r w:rsidRPr="0030543B">
        <w:rPr>
          <w:sz w:val="28"/>
          <w:szCs w:val="28"/>
        </w:rPr>
        <w:t xml:space="preserve"> 9001  протягом  2018 року на підприємстві виконана робота з складання реєстру небезпек та ризиків  для працівників шахт ДП « </w:t>
      </w:r>
      <w:proofErr w:type="spellStart"/>
      <w:r w:rsidRPr="0030543B">
        <w:rPr>
          <w:sz w:val="28"/>
          <w:szCs w:val="28"/>
        </w:rPr>
        <w:t>СхідГЗК</w:t>
      </w:r>
      <w:proofErr w:type="spellEnd"/>
      <w:r w:rsidRPr="0030543B">
        <w:rPr>
          <w:sz w:val="28"/>
          <w:szCs w:val="28"/>
        </w:rPr>
        <w:t>».</w:t>
      </w:r>
    </w:p>
    <w:p w:rsidR="00D71344" w:rsidRPr="0030543B" w:rsidRDefault="00D71344" w:rsidP="005C11B5">
      <w:pPr>
        <w:ind w:firstLine="720"/>
        <w:jc w:val="both"/>
        <w:rPr>
          <w:sz w:val="28"/>
          <w:szCs w:val="28"/>
        </w:rPr>
      </w:pPr>
      <w:r w:rsidRPr="0030543B">
        <w:rPr>
          <w:sz w:val="28"/>
          <w:szCs w:val="28"/>
        </w:rPr>
        <w:t>Для аналізу та попередження можливих загроз (ризиків) безпеки здоров'ю працюючих, визнач</w:t>
      </w:r>
      <w:r w:rsidR="005C11B5">
        <w:rPr>
          <w:sz w:val="28"/>
          <w:szCs w:val="28"/>
        </w:rPr>
        <w:t>ені</w:t>
      </w:r>
      <w:r w:rsidRPr="0030543B">
        <w:rPr>
          <w:sz w:val="28"/>
          <w:szCs w:val="28"/>
        </w:rPr>
        <w:t xml:space="preserve"> ризики для працюючих, розробл</w:t>
      </w:r>
      <w:r w:rsidR="005C11B5">
        <w:rPr>
          <w:sz w:val="28"/>
          <w:szCs w:val="28"/>
        </w:rPr>
        <w:t xml:space="preserve">ені </w:t>
      </w:r>
      <w:r w:rsidRPr="0030543B">
        <w:rPr>
          <w:sz w:val="28"/>
          <w:szCs w:val="28"/>
        </w:rPr>
        <w:t>профілактичні заходи щодо їх запобігання, а також обраний і обґрунтований метод оцінки загроз</w:t>
      </w:r>
      <w:r w:rsidR="00707535">
        <w:rPr>
          <w:sz w:val="28"/>
          <w:szCs w:val="28"/>
        </w:rPr>
        <w:t>.</w:t>
      </w:r>
      <w:r w:rsidR="005C11B5">
        <w:rPr>
          <w:sz w:val="28"/>
          <w:szCs w:val="28"/>
        </w:rPr>
        <w:t xml:space="preserve"> Під час видачі </w:t>
      </w:r>
      <w:proofErr w:type="spellStart"/>
      <w:r w:rsidR="005C11B5">
        <w:rPr>
          <w:sz w:val="28"/>
          <w:szCs w:val="28"/>
        </w:rPr>
        <w:t>перед</w:t>
      </w:r>
      <w:r w:rsidRPr="0030543B">
        <w:rPr>
          <w:sz w:val="28"/>
          <w:szCs w:val="28"/>
        </w:rPr>
        <w:t>змінних</w:t>
      </w:r>
      <w:proofErr w:type="spellEnd"/>
      <w:r w:rsidRPr="0030543B">
        <w:rPr>
          <w:sz w:val="28"/>
          <w:szCs w:val="28"/>
        </w:rPr>
        <w:t xml:space="preserve"> нарядів на виконання робіт працівників інформ</w:t>
      </w:r>
      <w:r w:rsidR="005C11B5">
        <w:rPr>
          <w:sz w:val="28"/>
          <w:szCs w:val="28"/>
        </w:rPr>
        <w:t>ують</w:t>
      </w:r>
      <w:r w:rsidRPr="0030543B">
        <w:rPr>
          <w:sz w:val="28"/>
          <w:szCs w:val="28"/>
        </w:rPr>
        <w:t xml:space="preserve"> про ризики, визначен</w:t>
      </w:r>
      <w:r w:rsidR="005C11B5">
        <w:rPr>
          <w:sz w:val="28"/>
          <w:szCs w:val="28"/>
        </w:rPr>
        <w:t>і</w:t>
      </w:r>
      <w:r w:rsidRPr="0030543B">
        <w:rPr>
          <w:sz w:val="28"/>
          <w:szCs w:val="28"/>
        </w:rPr>
        <w:t xml:space="preserve"> у Реєстрах ризиків сформованих на підприємстві за професіями. </w:t>
      </w:r>
    </w:p>
    <w:p w:rsidR="00D71344" w:rsidRPr="0030543B" w:rsidRDefault="00442FA9" w:rsidP="005C1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71344" w:rsidRPr="0030543B">
        <w:rPr>
          <w:sz w:val="28"/>
          <w:szCs w:val="28"/>
        </w:rPr>
        <w:t xml:space="preserve"> продовж року, на дільницях проводиться спеціальне навчання з наступною перевіркою знань у працівників, які виконують роботи підвищеної небезпеки. Крім цього, проводиться професійне навчання з наступною перевіркою  знань для майстрів з безпечних методів організації робіт на кожній шахті за  індивідуальними програмами з урахуванням їх особливостей.</w:t>
      </w:r>
    </w:p>
    <w:p w:rsidR="00D71344" w:rsidRPr="0030543B" w:rsidRDefault="00D71344" w:rsidP="005C11B5">
      <w:pPr>
        <w:ind w:firstLine="709"/>
        <w:jc w:val="both"/>
        <w:rPr>
          <w:sz w:val="28"/>
          <w:szCs w:val="28"/>
        </w:rPr>
      </w:pPr>
      <w:r w:rsidRPr="0030543B">
        <w:rPr>
          <w:sz w:val="28"/>
          <w:szCs w:val="28"/>
        </w:rPr>
        <w:t xml:space="preserve">Для мінімізації ризиків під час експлуатації обладнання с підвищеною небезпекою, яке вичерпало свій ресурс експлуатації, на підприємстві проводиться позачерговий технічний огляд спеціалізованими організаціями   </w:t>
      </w:r>
    </w:p>
    <w:p w:rsidR="00D71344" w:rsidRPr="0030543B" w:rsidRDefault="00D71344" w:rsidP="005C11B5">
      <w:pPr>
        <w:ind w:firstLine="709"/>
        <w:jc w:val="both"/>
        <w:rPr>
          <w:sz w:val="28"/>
          <w:szCs w:val="28"/>
        </w:rPr>
      </w:pPr>
      <w:r w:rsidRPr="0030543B">
        <w:rPr>
          <w:sz w:val="28"/>
          <w:szCs w:val="28"/>
        </w:rPr>
        <w:t>Для визначення переліку шкідливих факторів небезпеки, виробничих ризиків і загроз, що є характерними для кожного виду робіт, на підприємстві проводиться атестація робочих місць і контроль виробн</w:t>
      </w:r>
      <w:r w:rsidR="00442FA9">
        <w:rPr>
          <w:sz w:val="28"/>
          <w:szCs w:val="28"/>
        </w:rPr>
        <w:t>ичих факторів на робочих місцях</w:t>
      </w:r>
      <w:r w:rsidRPr="0030543B">
        <w:rPr>
          <w:color w:val="000000"/>
          <w:sz w:val="28"/>
          <w:szCs w:val="28"/>
        </w:rPr>
        <w:t xml:space="preserve"> </w:t>
      </w:r>
      <w:r w:rsidR="00442FA9">
        <w:rPr>
          <w:color w:val="000000"/>
          <w:sz w:val="28"/>
          <w:szCs w:val="28"/>
        </w:rPr>
        <w:t>у</w:t>
      </w:r>
      <w:r w:rsidRPr="0030543B">
        <w:rPr>
          <w:color w:val="000000"/>
          <w:sz w:val="28"/>
          <w:szCs w:val="28"/>
        </w:rPr>
        <w:t xml:space="preserve"> терміни, що відповідають вимогам чинного законодавства. </w:t>
      </w:r>
      <w:r w:rsidRPr="0030543B">
        <w:rPr>
          <w:sz w:val="28"/>
          <w:szCs w:val="28"/>
        </w:rPr>
        <w:t xml:space="preserve">Санітарно-гігієнічні дослідження, вимірювання факторів виробничих процесів на робочих місцях, </w:t>
      </w:r>
      <w:r w:rsidRPr="0030543B">
        <w:rPr>
          <w:sz w:val="28"/>
          <w:szCs w:val="28"/>
        </w:rPr>
        <w:lastRenderedPageBreak/>
        <w:t xml:space="preserve">оформлення карт умов праці з оцінкою факторів виробничого середовища і протоколів проведення обстежень на робочих місцях проводить Центральна </w:t>
      </w:r>
      <w:proofErr w:type="spellStart"/>
      <w:r w:rsidRPr="0030543B">
        <w:rPr>
          <w:sz w:val="28"/>
          <w:szCs w:val="28"/>
        </w:rPr>
        <w:t>пилогазодозиметрична</w:t>
      </w:r>
      <w:proofErr w:type="spellEnd"/>
      <w:r w:rsidRPr="0030543B">
        <w:rPr>
          <w:sz w:val="28"/>
          <w:szCs w:val="28"/>
        </w:rPr>
        <w:t xml:space="preserve"> лабораторія ДП "</w:t>
      </w:r>
      <w:proofErr w:type="spellStart"/>
      <w:r w:rsidRPr="0030543B">
        <w:rPr>
          <w:sz w:val="28"/>
          <w:szCs w:val="28"/>
        </w:rPr>
        <w:t>СхідГЗК</w:t>
      </w:r>
      <w:proofErr w:type="spellEnd"/>
      <w:r w:rsidRPr="0030543B">
        <w:rPr>
          <w:sz w:val="28"/>
          <w:szCs w:val="28"/>
        </w:rPr>
        <w:t xml:space="preserve">", яка має відповідні дозвільні документи на право проведення санітарно-гігієнічних досліджень факторів виробничого середовища і трудового процесу для атестації робочих місць за умовами праці.   </w:t>
      </w:r>
      <w:r w:rsidRPr="0030543B">
        <w:rPr>
          <w:sz w:val="28"/>
          <w:szCs w:val="28"/>
        </w:rPr>
        <w:tab/>
      </w:r>
    </w:p>
    <w:p w:rsidR="00D71344" w:rsidRPr="0030543B" w:rsidRDefault="00D71344" w:rsidP="00D7134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543B">
        <w:rPr>
          <w:color w:val="000000"/>
          <w:sz w:val="28"/>
          <w:szCs w:val="28"/>
        </w:rPr>
        <w:t>З метою мінімізації впливу шкідливих виробничих факторів на організм  працівників, зайнятих на роботах з важкими та шкідливими умовами праці, їм безоплатно видається лікувально-профілактичне харчування та  молоко.</w:t>
      </w:r>
    </w:p>
    <w:p w:rsidR="00D71344" w:rsidRPr="0030543B" w:rsidRDefault="00442FA9" w:rsidP="00A50CC5">
      <w:pPr>
        <w:pStyle w:val="3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Довідково:</w:t>
      </w:r>
      <w:r w:rsidR="00D71344" w:rsidRPr="0030543B">
        <w:rPr>
          <w:sz w:val="28"/>
          <w:szCs w:val="28"/>
        </w:rPr>
        <w:t xml:space="preserve">  Визначення загроз (ризиків) безпеки виробництва й життя працюючих вказані в планах ліквідації аварій та </w:t>
      </w:r>
      <w:proofErr w:type="spellStart"/>
      <w:r w:rsidR="00D71344" w:rsidRPr="0030543B">
        <w:rPr>
          <w:sz w:val="28"/>
          <w:szCs w:val="28"/>
        </w:rPr>
        <w:t>ПЛАСах</w:t>
      </w:r>
      <w:proofErr w:type="spellEnd"/>
      <w:r w:rsidR="00D71344" w:rsidRPr="0030543B">
        <w:rPr>
          <w:sz w:val="28"/>
          <w:szCs w:val="28"/>
        </w:rPr>
        <w:t>, за якими відповідно до затверджених графіків  проводяться протиаварійні тренування.</w:t>
      </w:r>
    </w:p>
    <w:p w:rsidR="00D71344" w:rsidRPr="0030543B" w:rsidRDefault="00D71344" w:rsidP="00A50CC5">
      <w:pPr>
        <w:ind w:firstLine="540"/>
        <w:jc w:val="both"/>
        <w:rPr>
          <w:b/>
          <w:sz w:val="28"/>
          <w:szCs w:val="28"/>
        </w:rPr>
      </w:pPr>
      <w:r w:rsidRPr="0030543B">
        <w:rPr>
          <w:sz w:val="28"/>
          <w:szCs w:val="28"/>
        </w:rPr>
        <w:t>На підприємстві розроблено та діє «Положення про порядок проведення навчання та перевірки знань з питань охорони праці для працівників                                                                                                             ДП «</w:t>
      </w:r>
      <w:proofErr w:type="spellStart"/>
      <w:r w:rsidRPr="0030543B">
        <w:rPr>
          <w:sz w:val="28"/>
          <w:szCs w:val="28"/>
        </w:rPr>
        <w:t>СхідГЗК</w:t>
      </w:r>
      <w:proofErr w:type="spellEnd"/>
      <w:r w:rsidRPr="0030543B">
        <w:rPr>
          <w:sz w:val="28"/>
          <w:szCs w:val="28"/>
        </w:rPr>
        <w:t xml:space="preserve">». Навчання та перевірка знань працівників підприємства з питань охорони праці здійснюється як групою підготовки кадрів, яка має на це ліцензію, так і спеціалізованими навчальними закладами. </w:t>
      </w:r>
    </w:p>
    <w:p w:rsidR="00D71344" w:rsidRPr="0030543B" w:rsidRDefault="00D71344" w:rsidP="00521548">
      <w:pPr>
        <w:ind w:firstLine="709"/>
        <w:jc w:val="both"/>
        <w:rPr>
          <w:sz w:val="28"/>
          <w:szCs w:val="28"/>
        </w:rPr>
      </w:pPr>
      <w:r w:rsidRPr="0030543B">
        <w:rPr>
          <w:color w:val="000000"/>
          <w:sz w:val="28"/>
          <w:szCs w:val="28"/>
        </w:rPr>
        <w:t xml:space="preserve">З метою стимулювання робітників до підвищення свого професійного рівня та продуктивності праці відповідно до Положення про проведення конкурсів професійної майстерності працівників </w:t>
      </w:r>
      <w:r w:rsidRPr="0030543B">
        <w:rPr>
          <w:sz w:val="28"/>
          <w:szCs w:val="28"/>
        </w:rPr>
        <w:t xml:space="preserve"> ДП «</w:t>
      </w:r>
      <w:proofErr w:type="spellStart"/>
      <w:r w:rsidRPr="0030543B">
        <w:rPr>
          <w:sz w:val="28"/>
          <w:szCs w:val="28"/>
        </w:rPr>
        <w:t>СхідГЗК</w:t>
      </w:r>
      <w:proofErr w:type="spellEnd"/>
      <w:r w:rsidRPr="0030543B">
        <w:rPr>
          <w:sz w:val="28"/>
          <w:szCs w:val="28"/>
        </w:rPr>
        <w:t xml:space="preserve">» в підрозділах підприємства проводяться  конкурси «За безпечну працю» та змагання бригад з питань безпечного виконання робіт у номінаціях «Кращий працівник», «Краща виробнича дільниця (бригада)», «Кращий за професією» за підсумками змагань і конкурсів  визначаються переможці, яких відзначають «Подякою» та матеріальною винагородою. </w:t>
      </w:r>
    </w:p>
    <w:p w:rsidR="00D71344" w:rsidRPr="002A288F" w:rsidRDefault="00D71344" w:rsidP="00521548">
      <w:pPr>
        <w:ind w:firstLine="709"/>
        <w:jc w:val="both"/>
        <w:rPr>
          <w:sz w:val="28"/>
          <w:szCs w:val="28"/>
        </w:rPr>
      </w:pPr>
      <w:r w:rsidRPr="0030543B">
        <w:rPr>
          <w:sz w:val="28"/>
          <w:szCs w:val="28"/>
        </w:rPr>
        <w:t xml:space="preserve">З нагоди Всесвітнього тижня та </w:t>
      </w:r>
      <w:r w:rsidR="008010DE">
        <w:rPr>
          <w:sz w:val="28"/>
          <w:szCs w:val="28"/>
        </w:rPr>
        <w:t xml:space="preserve">Всесвітнього Дня охорони праці </w:t>
      </w:r>
      <w:proofErr w:type="spellStart"/>
      <w:r w:rsidR="008010DE" w:rsidRPr="0030543B">
        <w:rPr>
          <w:sz w:val="28"/>
          <w:szCs w:val="28"/>
        </w:rPr>
        <w:t>відзна</w:t>
      </w:r>
      <w:r w:rsidR="004E5BD7">
        <w:rPr>
          <w:sz w:val="28"/>
          <w:szCs w:val="28"/>
        </w:rPr>
        <w:t>ли</w:t>
      </w:r>
      <w:r w:rsidRPr="0030543B">
        <w:rPr>
          <w:sz w:val="28"/>
          <w:szCs w:val="28"/>
        </w:rPr>
        <w:t>ся</w:t>
      </w:r>
      <w:proofErr w:type="spellEnd"/>
      <w:r w:rsidRPr="0030543B">
        <w:rPr>
          <w:b/>
          <w:color w:val="000000"/>
          <w:sz w:val="28"/>
          <w:szCs w:val="28"/>
        </w:rPr>
        <w:t xml:space="preserve"> </w:t>
      </w:r>
      <w:r w:rsidRPr="0030543B">
        <w:rPr>
          <w:sz w:val="28"/>
          <w:szCs w:val="28"/>
        </w:rPr>
        <w:t>кращі працівники за професією, які б</w:t>
      </w:r>
      <w:r w:rsidR="004E5BD7">
        <w:rPr>
          <w:sz w:val="28"/>
          <w:szCs w:val="28"/>
        </w:rPr>
        <w:t>рали</w:t>
      </w:r>
      <w:r w:rsidRPr="0030543B">
        <w:rPr>
          <w:sz w:val="28"/>
          <w:szCs w:val="28"/>
        </w:rPr>
        <w:t xml:space="preserve"> активну участь у підвищенні рівня безпеки, гігієни праці та виробничого середовища</w:t>
      </w:r>
      <w:r w:rsidR="004E5BD7">
        <w:rPr>
          <w:sz w:val="28"/>
          <w:szCs w:val="28"/>
        </w:rPr>
        <w:t xml:space="preserve"> та</w:t>
      </w:r>
      <w:r w:rsidRPr="0030543B">
        <w:rPr>
          <w:sz w:val="28"/>
          <w:szCs w:val="28"/>
        </w:rPr>
        <w:t xml:space="preserve"> за результатами стану виробничого </w:t>
      </w:r>
      <w:r w:rsidRPr="002A288F">
        <w:rPr>
          <w:sz w:val="28"/>
          <w:szCs w:val="28"/>
        </w:rPr>
        <w:t>тр</w:t>
      </w:r>
      <w:r w:rsidR="008010DE" w:rsidRPr="002A288F">
        <w:rPr>
          <w:sz w:val="28"/>
          <w:szCs w:val="28"/>
        </w:rPr>
        <w:t xml:space="preserve">авматизму й </w:t>
      </w:r>
      <w:proofErr w:type="spellStart"/>
      <w:r w:rsidR="008010DE" w:rsidRPr="002A288F">
        <w:rPr>
          <w:sz w:val="28"/>
          <w:szCs w:val="28"/>
        </w:rPr>
        <w:t>профзахворюваності</w:t>
      </w:r>
      <w:proofErr w:type="spellEnd"/>
      <w:r w:rsidRPr="002A288F">
        <w:rPr>
          <w:sz w:val="28"/>
          <w:szCs w:val="28"/>
        </w:rPr>
        <w:t>.</w:t>
      </w:r>
    </w:p>
    <w:p w:rsidR="00CD5D19" w:rsidRPr="002A288F" w:rsidRDefault="00CD5D19" w:rsidP="00CD5D19">
      <w:pPr>
        <w:shd w:val="clear" w:color="auto" w:fill="FFFFFF"/>
        <w:ind w:firstLine="720"/>
        <w:jc w:val="both"/>
        <w:rPr>
          <w:sz w:val="28"/>
          <w:szCs w:val="28"/>
        </w:rPr>
      </w:pPr>
      <w:r w:rsidRPr="002A288F">
        <w:rPr>
          <w:sz w:val="28"/>
          <w:szCs w:val="28"/>
        </w:rPr>
        <w:t xml:space="preserve">На виконання </w:t>
      </w:r>
      <w:proofErr w:type="spellStart"/>
      <w:r w:rsidRPr="002A288F">
        <w:rPr>
          <w:sz w:val="28"/>
          <w:szCs w:val="28"/>
        </w:rPr>
        <w:t>ст.17</w:t>
      </w:r>
      <w:proofErr w:type="spellEnd"/>
      <w:r w:rsidRPr="002A288F">
        <w:rPr>
          <w:sz w:val="28"/>
          <w:szCs w:val="28"/>
        </w:rPr>
        <w:t xml:space="preserve"> Закону України « Про охорону праці» проходять попередні та періодичні  медичні огляди всі працівники, зайняті на важких роботах, роботах із шкідливими чи небезпечними умовами праці або таких, де є потреба у професійному доборі. На підприємстві </w:t>
      </w:r>
      <w:r w:rsidRPr="002A288F">
        <w:rPr>
          <w:bCs/>
          <w:iCs/>
          <w:sz w:val="28"/>
          <w:szCs w:val="28"/>
        </w:rPr>
        <w:t xml:space="preserve">функціонує Регіональний відділ психофізіологічної експертизи, як суб’єкт єдиної Системи професійного психофізіологічного відбору працівників для виконання робіт підвищеної небезпеки у складі ДП «Головний навчально-методичний центр </w:t>
      </w:r>
      <w:proofErr w:type="spellStart"/>
      <w:r w:rsidRPr="002A288F">
        <w:rPr>
          <w:bCs/>
          <w:iCs/>
          <w:sz w:val="28"/>
          <w:szCs w:val="28"/>
        </w:rPr>
        <w:t>Держпраці</w:t>
      </w:r>
      <w:proofErr w:type="spellEnd"/>
      <w:r w:rsidRPr="002A288F">
        <w:rPr>
          <w:bCs/>
          <w:iCs/>
          <w:sz w:val="28"/>
          <w:szCs w:val="28"/>
        </w:rPr>
        <w:t xml:space="preserve"> України».</w:t>
      </w:r>
      <w:r w:rsidR="002A288F" w:rsidRPr="002A288F">
        <w:rPr>
          <w:bCs/>
          <w:iCs/>
          <w:sz w:val="28"/>
          <w:szCs w:val="28"/>
        </w:rPr>
        <w:t xml:space="preserve"> </w:t>
      </w:r>
      <w:r w:rsidRPr="002A288F">
        <w:rPr>
          <w:sz w:val="28"/>
          <w:szCs w:val="28"/>
        </w:rPr>
        <w:t>Відповідно до вимог</w:t>
      </w:r>
      <w:r w:rsidRPr="002A288F">
        <w:rPr>
          <w:bCs/>
          <w:iCs/>
          <w:sz w:val="28"/>
          <w:szCs w:val="28"/>
        </w:rPr>
        <w:t xml:space="preserve"> Порядку організації та проведення психофізіологічного відбору працівників для виконання робіт підвищеної небезпеки та тих, що потребують професійного добору на ДП</w:t>
      </w:r>
      <w:r w:rsidR="002A288F" w:rsidRPr="002A288F">
        <w:rPr>
          <w:bCs/>
          <w:iCs/>
          <w:sz w:val="28"/>
          <w:szCs w:val="28"/>
        </w:rPr>
        <w:t> </w:t>
      </w:r>
      <w:r w:rsidRPr="002A288F">
        <w:rPr>
          <w:bCs/>
          <w:iCs/>
          <w:sz w:val="28"/>
          <w:szCs w:val="28"/>
        </w:rPr>
        <w:t>«</w:t>
      </w:r>
      <w:proofErr w:type="spellStart"/>
      <w:r w:rsidRPr="002A288F">
        <w:rPr>
          <w:bCs/>
          <w:iCs/>
          <w:sz w:val="28"/>
          <w:szCs w:val="28"/>
        </w:rPr>
        <w:t>СхідГЗК</w:t>
      </w:r>
      <w:proofErr w:type="spellEnd"/>
      <w:r w:rsidRPr="002A288F">
        <w:rPr>
          <w:bCs/>
          <w:iCs/>
          <w:sz w:val="28"/>
          <w:szCs w:val="28"/>
        </w:rPr>
        <w:t xml:space="preserve">», </w:t>
      </w:r>
      <w:r w:rsidRPr="002A288F">
        <w:rPr>
          <w:sz w:val="28"/>
          <w:szCs w:val="28"/>
        </w:rPr>
        <w:t xml:space="preserve">проводиться обстеження працівників, зайнятих на роботах з підвищеною небезпекою згідно з  Переліком робіт, де є потреба у професійному доборі, затвердженому наказом Держгірпромнагляду  23.09.1994 №  263/1. </w:t>
      </w:r>
      <w:r w:rsidR="002A288F" w:rsidRPr="002A288F">
        <w:rPr>
          <w:sz w:val="28"/>
          <w:szCs w:val="28"/>
        </w:rPr>
        <w:t>У</w:t>
      </w:r>
      <w:r w:rsidRPr="002A288F">
        <w:rPr>
          <w:sz w:val="28"/>
          <w:szCs w:val="28"/>
        </w:rPr>
        <w:t xml:space="preserve"> 2018 році пройшли психофізіологічну експертизу 1776 працівників. </w:t>
      </w:r>
    </w:p>
    <w:p w:rsidR="004E5BD7" w:rsidRPr="0030543B" w:rsidRDefault="004E5BD7" w:rsidP="008010D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0543B">
        <w:rPr>
          <w:color w:val="000000"/>
          <w:sz w:val="28"/>
          <w:szCs w:val="28"/>
        </w:rPr>
        <w:t xml:space="preserve">У 2018 році на підприємстві сталося </w:t>
      </w:r>
      <w:r w:rsidRPr="0030543B">
        <w:rPr>
          <w:sz w:val="28"/>
          <w:szCs w:val="28"/>
        </w:rPr>
        <w:t xml:space="preserve">6 </w:t>
      </w:r>
      <w:r w:rsidRPr="0030543B">
        <w:rPr>
          <w:color w:val="000000"/>
          <w:sz w:val="28"/>
          <w:szCs w:val="28"/>
        </w:rPr>
        <w:t xml:space="preserve">нещасних випадків, пов`язаних з виробництвом, з кількістю потерпілих 11 осіб, у тому числі 2 групових </w:t>
      </w:r>
      <w:r w:rsidR="008010DE">
        <w:rPr>
          <w:color w:val="000000"/>
          <w:sz w:val="28"/>
          <w:szCs w:val="28"/>
        </w:rPr>
        <w:t xml:space="preserve">, </w:t>
      </w:r>
      <w:r w:rsidRPr="0030543B">
        <w:rPr>
          <w:color w:val="000000"/>
          <w:sz w:val="28"/>
          <w:szCs w:val="28"/>
        </w:rPr>
        <w:t>з них 1 випадок</w:t>
      </w:r>
      <w:r w:rsidR="008010DE" w:rsidRPr="008010DE">
        <w:rPr>
          <w:color w:val="000000"/>
          <w:sz w:val="28"/>
          <w:szCs w:val="28"/>
        </w:rPr>
        <w:t xml:space="preserve"> </w:t>
      </w:r>
      <w:r w:rsidR="008010DE" w:rsidRPr="0030543B">
        <w:rPr>
          <w:color w:val="000000"/>
          <w:sz w:val="28"/>
          <w:szCs w:val="28"/>
        </w:rPr>
        <w:t>ДТП</w:t>
      </w:r>
      <w:r w:rsidRPr="0030543B">
        <w:rPr>
          <w:color w:val="000000"/>
          <w:sz w:val="28"/>
          <w:szCs w:val="28"/>
        </w:rPr>
        <w:t xml:space="preserve">, під час якого постраждало 5 працівників. </w:t>
      </w:r>
    </w:p>
    <w:p w:rsidR="00A50CC5" w:rsidRDefault="004E5BD7" w:rsidP="0052154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010DE">
        <w:rPr>
          <w:color w:val="000000"/>
          <w:sz w:val="28"/>
          <w:szCs w:val="28"/>
        </w:rPr>
        <w:t>На ДП «</w:t>
      </w:r>
      <w:proofErr w:type="spellStart"/>
      <w:r w:rsidRPr="008010DE">
        <w:rPr>
          <w:color w:val="000000"/>
          <w:sz w:val="28"/>
          <w:szCs w:val="28"/>
        </w:rPr>
        <w:t>СхідГЗК</w:t>
      </w:r>
      <w:proofErr w:type="spellEnd"/>
      <w:r w:rsidRPr="008010DE">
        <w:rPr>
          <w:color w:val="000000"/>
          <w:sz w:val="28"/>
          <w:szCs w:val="28"/>
        </w:rPr>
        <w:t>» за 2018 рік зареєстровано професійних захворювань - 78 випадків, питома вага яких зареєстрована</w:t>
      </w:r>
      <w:r w:rsidRPr="0030543B">
        <w:rPr>
          <w:color w:val="000000"/>
          <w:sz w:val="28"/>
          <w:szCs w:val="28"/>
        </w:rPr>
        <w:t xml:space="preserve"> у працівників підземних професій що вже не працюють на підприємстві.</w:t>
      </w:r>
      <w:r w:rsidR="00521548">
        <w:rPr>
          <w:color w:val="000000"/>
          <w:sz w:val="28"/>
          <w:szCs w:val="28"/>
        </w:rPr>
        <w:t xml:space="preserve">  </w:t>
      </w:r>
      <w:r w:rsidR="00A50CC5">
        <w:rPr>
          <w:b/>
          <w:sz w:val="28"/>
          <w:szCs w:val="28"/>
        </w:rPr>
        <w:br w:type="page"/>
      </w:r>
    </w:p>
    <w:p w:rsidR="00D71344" w:rsidRPr="0030543B" w:rsidRDefault="00D71344" w:rsidP="00D71344">
      <w:pPr>
        <w:ind w:left="567"/>
        <w:jc w:val="both"/>
        <w:rPr>
          <w:b/>
          <w:sz w:val="28"/>
          <w:szCs w:val="28"/>
        </w:rPr>
      </w:pPr>
    </w:p>
    <w:p w:rsidR="00D71344" w:rsidRPr="0030543B" w:rsidRDefault="00D71344" w:rsidP="00D71344">
      <w:pPr>
        <w:tabs>
          <w:tab w:val="left" w:pos="4215"/>
        </w:tabs>
        <w:jc w:val="center"/>
        <w:rPr>
          <w:b/>
          <w:sz w:val="28"/>
          <w:szCs w:val="28"/>
        </w:rPr>
      </w:pPr>
      <w:r w:rsidRPr="0030543B">
        <w:rPr>
          <w:b/>
          <w:sz w:val="28"/>
          <w:szCs w:val="28"/>
        </w:rPr>
        <w:t>ІНФОРМАЦІЯ ПРО СТАН ВИКОНАННЯ ВИМОГ ЗАКОНУ УКРАЇНИ "ПРО ОХОРОНУ ПРАЦІ" ТА СТАН ОХОРОНИ ПРАЦІ НА ДП «38 ВІТЧ»</w:t>
      </w:r>
    </w:p>
    <w:p w:rsidR="00D71344" w:rsidRPr="0030543B" w:rsidRDefault="00D71344" w:rsidP="00D71344">
      <w:pPr>
        <w:tabs>
          <w:tab w:val="left" w:pos="4215"/>
        </w:tabs>
        <w:jc w:val="center"/>
        <w:rPr>
          <w:b/>
          <w:spacing w:val="0"/>
          <w:sz w:val="28"/>
          <w:szCs w:val="28"/>
        </w:rPr>
      </w:pPr>
      <w:r w:rsidRPr="0030543B">
        <w:rPr>
          <w:b/>
          <w:sz w:val="28"/>
          <w:szCs w:val="28"/>
        </w:rPr>
        <w:t>ЗА 2018 РІК</w:t>
      </w:r>
    </w:p>
    <w:p w:rsidR="00D71344" w:rsidRPr="0030543B" w:rsidRDefault="00D71344" w:rsidP="00D71344">
      <w:pPr>
        <w:tabs>
          <w:tab w:val="left" w:pos="4215"/>
        </w:tabs>
        <w:ind w:firstLine="964"/>
        <w:jc w:val="both"/>
        <w:rPr>
          <w:sz w:val="28"/>
          <w:szCs w:val="28"/>
        </w:rPr>
      </w:pPr>
    </w:p>
    <w:p w:rsidR="00D71344" w:rsidRPr="0030543B" w:rsidRDefault="00D71344" w:rsidP="00D71344">
      <w:pPr>
        <w:tabs>
          <w:tab w:val="left" w:pos="4215"/>
        </w:tabs>
        <w:ind w:firstLine="964"/>
        <w:jc w:val="both"/>
        <w:rPr>
          <w:sz w:val="28"/>
          <w:szCs w:val="28"/>
        </w:rPr>
      </w:pPr>
      <w:r w:rsidRPr="0030543B">
        <w:rPr>
          <w:sz w:val="28"/>
          <w:szCs w:val="28"/>
        </w:rPr>
        <w:t xml:space="preserve">Згідно наказу Мінпаливенерго України від 25.05.2004 № 275 на Державне підприємство «38ВІТЧ» покладені функції  щодо забезпечення перепускного режиму та охорони зовнішнього периметру і територій розташованих в межах  </w:t>
      </w:r>
      <w:proofErr w:type="spellStart"/>
      <w:r w:rsidRPr="0030543B">
        <w:rPr>
          <w:sz w:val="28"/>
          <w:szCs w:val="28"/>
        </w:rPr>
        <w:t>проммайданчику</w:t>
      </w:r>
      <w:proofErr w:type="spellEnd"/>
      <w:r w:rsidRPr="0030543B">
        <w:rPr>
          <w:sz w:val="28"/>
          <w:szCs w:val="28"/>
        </w:rPr>
        <w:t xml:space="preserve"> колишнього ВО «Придніпровський хімічний завод» (ВО ПХЗ)</w:t>
      </w:r>
    </w:p>
    <w:p w:rsidR="00D71344" w:rsidRPr="0030543B" w:rsidRDefault="00D71344" w:rsidP="00A50CC5">
      <w:pPr>
        <w:ind w:firstLine="709"/>
        <w:jc w:val="both"/>
        <w:rPr>
          <w:sz w:val="28"/>
          <w:szCs w:val="28"/>
        </w:rPr>
      </w:pPr>
      <w:r w:rsidRPr="0030543B">
        <w:rPr>
          <w:sz w:val="28"/>
          <w:szCs w:val="28"/>
        </w:rPr>
        <w:t>Середня чисельність працюючих по  року – 48</w:t>
      </w:r>
      <w:r w:rsidRPr="0030543B">
        <w:rPr>
          <w:sz w:val="28"/>
          <w:szCs w:val="28"/>
          <w:lang w:val="ru-RU"/>
        </w:rPr>
        <w:t>7</w:t>
      </w:r>
      <w:r w:rsidRPr="0030543B">
        <w:rPr>
          <w:sz w:val="28"/>
          <w:szCs w:val="28"/>
        </w:rPr>
        <w:t xml:space="preserve"> осіб. На підприємстві запроваджено 24-годинний графік роботи особового складу відомчої воєнізованої охорони (ВВО) з режимом праці «доба через три». Максимальна добова кількість  особового складу ВВО  в межах </w:t>
      </w:r>
      <w:proofErr w:type="spellStart"/>
      <w:r w:rsidRPr="0030543B">
        <w:rPr>
          <w:sz w:val="28"/>
          <w:szCs w:val="28"/>
        </w:rPr>
        <w:t>проммайданчика</w:t>
      </w:r>
      <w:proofErr w:type="spellEnd"/>
      <w:r w:rsidRPr="0030543B">
        <w:rPr>
          <w:sz w:val="28"/>
          <w:szCs w:val="28"/>
        </w:rPr>
        <w:t xml:space="preserve"> ВО ПХЗ складає до 35 осіб. Максимальна кількість працівників, що перебувають за своїми службовими обов’язками в межах  </w:t>
      </w:r>
      <w:proofErr w:type="spellStart"/>
      <w:r w:rsidRPr="0030543B">
        <w:rPr>
          <w:sz w:val="28"/>
          <w:szCs w:val="28"/>
        </w:rPr>
        <w:t>проммайданчика</w:t>
      </w:r>
      <w:proofErr w:type="spellEnd"/>
      <w:r w:rsidRPr="0030543B">
        <w:rPr>
          <w:sz w:val="28"/>
          <w:szCs w:val="28"/>
        </w:rPr>
        <w:t xml:space="preserve"> ВО ПХЗ з 7-00 до 17-00 годин, разом з особовим складом ВВО, складає до 55 осіб (додатково служба фізичного захисту, група перепускного режиму, група обслуговування ІТЗ ФЗ та </w:t>
      </w:r>
      <w:proofErr w:type="spellStart"/>
      <w:r w:rsidRPr="0030543B">
        <w:rPr>
          <w:sz w:val="28"/>
          <w:szCs w:val="28"/>
        </w:rPr>
        <w:t>ін</w:t>
      </w:r>
      <w:proofErr w:type="spellEnd"/>
      <w:r w:rsidRPr="0030543B">
        <w:rPr>
          <w:sz w:val="28"/>
          <w:szCs w:val="28"/>
        </w:rPr>
        <w:t xml:space="preserve">). </w:t>
      </w:r>
    </w:p>
    <w:p w:rsidR="00D71344" w:rsidRPr="0030543B" w:rsidRDefault="00D71344" w:rsidP="00D71344">
      <w:pPr>
        <w:ind w:firstLine="709"/>
        <w:jc w:val="both"/>
        <w:rPr>
          <w:sz w:val="28"/>
          <w:szCs w:val="28"/>
        </w:rPr>
      </w:pPr>
      <w:r w:rsidRPr="0030543B">
        <w:rPr>
          <w:sz w:val="28"/>
          <w:szCs w:val="28"/>
        </w:rPr>
        <w:t xml:space="preserve">За результатами атестації робочих місць за умовами праці, проведеної у 2016 році (всього 92 робочих місця), встановлено наявність шкідливих умов на робочих місцях таких професій: керівники загонів ВВО та охоронники, водії автотранспортних засобів, </w:t>
      </w:r>
      <w:proofErr w:type="spellStart"/>
      <w:r w:rsidRPr="0030543B">
        <w:rPr>
          <w:sz w:val="28"/>
          <w:szCs w:val="28"/>
        </w:rPr>
        <w:t>дозиметристи</w:t>
      </w:r>
      <w:proofErr w:type="spellEnd"/>
      <w:r w:rsidRPr="0030543B">
        <w:rPr>
          <w:sz w:val="28"/>
          <w:szCs w:val="28"/>
        </w:rPr>
        <w:t>, енергетик , електрик, слюсар-сантехник, диспетчер та підсобний працівник.</w:t>
      </w:r>
    </w:p>
    <w:p w:rsidR="00D71344" w:rsidRPr="0030543B" w:rsidRDefault="00D71344" w:rsidP="00D71344">
      <w:pPr>
        <w:ind w:firstLine="709"/>
        <w:jc w:val="both"/>
        <w:rPr>
          <w:sz w:val="28"/>
          <w:szCs w:val="28"/>
        </w:rPr>
      </w:pPr>
      <w:r w:rsidRPr="0030543B">
        <w:rPr>
          <w:sz w:val="28"/>
          <w:szCs w:val="28"/>
        </w:rPr>
        <w:t xml:space="preserve">Шкідливі умови праці на усіх робочих місцях полягають у наявності перевищення  допустимих показників мікроклімату при роботі на відкритих площадках у зимовий та літній період. </w:t>
      </w:r>
    </w:p>
    <w:p w:rsidR="00D71344" w:rsidRPr="0030543B" w:rsidRDefault="00D71344" w:rsidP="00D71344">
      <w:pPr>
        <w:ind w:firstLine="709"/>
        <w:jc w:val="both"/>
        <w:rPr>
          <w:sz w:val="28"/>
          <w:szCs w:val="28"/>
        </w:rPr>
      </w:pPr>
      <w:r w:rsidRPr="0030543B">
        <w:rPr>
          <w:sz w:val="28"/>
          <w:szCs w:val="28"/>
        </w:rPr>
        <w:t>Роботи охоронників пов’язані з наявністю значних навантажень на опорно-рухову систему (переміщення по маршрутах, вимушена поза) та напруженістю (</w:t>
      </w:r>
      <w:r w:rsidRPr="0030543B">
        <w:rPr>
          <w:rStyle w:val="rvts82"/>
          <w:sz w:val="28"/>
          <w:szCs w:val="28"/>
        </w:rPr>
        <w:t>ризик для власного життя</w:t>
      </w:r>
      <w:r w:rsidRPr="0030543B">
        <w:rPr>
          <w:sz w:val="28"/>
          <w:szCs w:val="28"/>
        </w:rPr>
        <w:t>)</w:t>
      </w:r>
    </w:p>
    <w:p w:rsidR="00D71344" w:rsidRPr="0030543B" w:rsidRDefault="00D71344" w:rsidP="00D71344">
      <w:pPr>
        <w:ind w:firstLine="709"/>
        <w:jc w:val="both"/>
        <w:rPr>
          <w:sz w:val="28"/>
          <w:szCs w:val="28"/>
        </w:rPr>
      </w:pPr>
      <w:r w:rsidRPr="0030543B">
        <w:rPr>
          <w:sz w:val="28"/>
          <w:szCs w:val="28"/>
        </w:rPr>
        <w:t>На ДП «38 ВІТЧ» професії начальницького складу ВВО,  охоронників (роботи, виконання яких передбачає носіння вогнепальної зброї) та водія автотранспортних засобів (роботи, пов'язані з управлінням наземним  транспортом) потребують професійного добору.        .</w:t>
      </w:r>
    </w:p>
    <w:p w:rsidR="00D71344" w:rsidRPr="0030543B" w:rsidRDefault="00D71344" w:rsidP="00D71344">
      <w:pPr>
        <w:ind w:firstLine="709"/>
        <w:jc w:val="both"/>
        <w:rPr>
          <w:sz w:val="28"/>
          <w:szCs w:val="28"/>
        </w:rPr>
      </w:pPr>
      <w:r w:rsidRPr="0030543B">
        <w:rPr>
          <w:sz w:val="28"/>
          <w:szCs w:val="28"/>
        </w:rPr>
        <w:t>На підприємстві  до переліку робіт з підвищеною небезпекою відносяться роботи в діючих електроустановках (зайнята 1 особа), роботи з застосуванням дозиметрів (5 осіб) та роботи з ремонт і профілактичного обслуговування засобів охоронної сигналізації (5 осіб).</w:t>
      </w:r>
    </w:p>
    <w:p w:rsidR="00D71344" w:rsidRPr="0030543B" w:rsidRDefault="00D71344" w:rsidP="00D71344">
      <w:pPr>
        <w:ind w:firstLine="709"/>
        <w:jc w:val="both"/>
        <w:rPr>
          <w:sz w:val="28"/>
          <w:szCs w:val="28"/>
        </w:rPr>
      </w:pPr>
      <w:r w:rsidRPr="0030543B">
        <w:rPr>
          <w:sz w:val="28"/>
          <w:szCs w:val="28"/>
        </w:rPr>
        <w:t>Виходячи зі специфіки діяльності  підприємства будується тактика та стратегія роботи з питань охорони праці щодо  впровадження профілактичних, організаційно-технічних, санітарно-гігієнічних та лікувально-профілактичних заходів направлених на  усунення шкідливих і небезпечних виробничих факторів, запобігання нещасним випадкам на виробництві, професійним захворюванням та  покращенню санітарно-побутових умов.</w:t>
      </w:r>
    </w:p>
    <w:p w:rsidR="00D71344" w:rsidRPr="0030543B" w:rsidRDefault="00D71344" w:rsidP="00D71344">
      <w:pPr>
        <w:ind w:firstLine="709"/>
        <w:jc w:val="both"/>
        <w:rPr>
          <w:sz w:val="28"/>
          <w:szCs w:val="28"/>
        </w:rPr>
      </w:pPr>
      <w:r w:rsidRPr="0030543B">
        <w:rPr>
          <w:sz w:val="28"/>
          <w:szCs w:val="28"/>
        </w:rPr>
        <w:t xml:space="preserve">Сектором охорони праці та пожежної безпеки постійно проводилось впровадження системи управління охороною праці (СУОП) підприємства в структурних підрозділах, що сприяло ефективній діяльності  кожного підрозділу і на кожному робочому місці, що відповідає вимогам нормативно-правових документів, створенню передумов щодо неухильного зменшення ризиків виникнення </w:t>
      </w:r>
      <w:r w:rsidRPr="0030543B">
        <w:rPr>
          <w:sz w:val="28"/>
          <w:szCs w:val="28"/>
        </w:rPr>
        <w:lastRenderedPageBreak/>
        <w:t>небезпечних ситуацій, зниження показників виробничого травматизму та недопущення професійних захворювань і аварій на виробництві.</w:t>
      </w:r>
    </w:p>
    <w:p w:rsidR="00D71344" w:rsidRPr="0030543B" w:rsidRDefault="00D71344" w:rsidP="00D71344">
      <w:pPr>
        <w:jc w:val="both"/>
        <w:rPr>
          <w:sz w:val="28"/>
          <w:szCs w:val="28"/>
        </w:rPr>
      </w:pPr>
      <w:r w:rsidRPr="0030543B">
        <w:rPr>
          <w:sz w:val="28"/>
          <w:szCs w:val="28"/>
        </w:rPr>
        <w:t xml:space="preserve">      Відповідно до вимог статті 18 Закону України "Про охорону праці", «Типового</w:t>
      </w:r>
      <w:r w:rsidR="007751EB">
        <w:rPr>
          <w:sz w:val="28"/>
          <w:szCs w:val="28"/>
        </w:rPr>
        <w:t> </w:t>
      </w:r>
      <w:r w:rsidRPr="0030543B">
        <w:rPr>
          <w:sz w:val="28"/>
          <w:szCs w:val="28"/>
        </w:rPr>
        <w:t>Положення про порядок проведення навчання і перевірки знань з питань охорони праці», затвердженого наказом Держкомітету України з нагляду за охороною праці 26</w:t>
      </w:r>
      <w:r w:rsidR="007751EB">
        <w:rPr>
          <w:sz w:val="28"/>
          <w:szCs w:val="28"/>
        </w:rPr>
        <w:t>.01.</w:t>
      </w:r>
      <w:r w:rsidRPr="0030543B">
        <w:rPr>
          <w:sz w:val="28"/>
          <w:szCs w:val="28"/>
        </w:rPr>
        <w:t>2005 р. №</w:t>
      </w:r>
      <w:r w:rsidR="007751EB">
        <w:rPr>
          <w:sz w:val="28"/>
          <w:szCs w:val="28"/>
        </w:rPr>
        <w:t> </w:t>
      </w:r>
      <w:r w:rsidRPr="0030543B">
        <w:rPr>
          <w:sz w:val="28"/>
          <w:szCs w:val="28"/>
        </w:rPr>
        <w:t>15 та «Положення про порядок проведення навчання і перевірки знань з питань охорони праці на Державному підприємстві «38 відділ інженерно-технічних частин»», затвердженого наказом генерального директора ДП «38 ВІТЧ» №77 від 20.02.2013 р. та наказу генерального директора  ДП «38 ВІТЧ» «Про організацію та порядок проведення навчання  і перевірки  знань  з питань охорони праці посадових осіб  та інших  працівників підприємства у процесі трудової діяльності», протягом року організовувались та проводились навчання з питань охорони праці та пожежної безпеки з працівниками підприємства:</w:t>
      </w:r>
    </w:p>
    <w:p w:rsidR="00D71344" w:rsidRPr="0030543B" w:rsidRDefault="00D71344" w:rsidP="00D71344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43B">
        <w:rPr>
          <w:rFonts w:ascii="Times New Roman" w:hAnsi="Times New Roman"/>
          <w:sz w:val="28"/>
          <w:szCs w:val="28"/>
        </w:rPr>
        <w:t xml:space="preserve">- з охоронниками, згідно з планом  та  програмами  навчання в підрозділах; </w:t>
      </w:r>
    </w:p>
    <w:p w:rsidR="00D71344" w:rsidRPr="0030543B" w:rsidRDefault="00D71344" w:rsidP="00D71344">
      <w:pPr>
        <w:jc w:val="both"/>
        <w:rPr>
          <w:sz w:val="28"/>
          <w:szCs w:val="28"/>
        </w:rPr>
      </w:pPr>
      <w:r w:rsidRPr="0030543B">
        <w:rPr>
          <w:sz w:val="28"/>
          <w:szCs w:val="28"/>
        </w:rPr>
        <w:t xml:space="preserve">- працівниками технічної експлуатації електроустановок споживачів в Державному підприємстві «Придніпровський експертно-технічний центр Головного управління </w:t>
      </w:r>
      <w:proofErr w:type="spellStart"/>
      <w:r w:rsidRPr="0030543B">
        <w:rPr>
          <w:sz w:val="28"/>
          <w:szCs w:val="28"/>
        </w:rPr>
        <w:t>Держпраці</w:t>
      </w:r>
      <w:proofErr w:type="spellEnd"/>
      <w:r w:rsidRPr="0030543B">
        <w:rPr>
          <w:sz w:val="28"/>
          <w:szCs w:val="28"/>
        </w:rPr>
        <w:t xml:space="preserve"> у Дніпропетровській області»;</w:t>
      </w:r>
    </w:p>
    <w:p w:rsidR="00D71344" w:rsidRPr="0030543B" w:rsidRDefault="00D71344" w:rsidP="00D71344">
      <w:pPr>
        <w:jc w:val="both"/>
        <w:rPr>
          <w:sz w:val="28"/>
          <w:szCs w:val="28"/>
        </w:rPr>
      </w:pPr>
      <w:r w:rsidRPr="0030543B">
        <w:rPr>
          <w:sz w:val="28"/>
          <w:szCs w:val="28"/>
        </w:rPr>
        <w:t>- під час прийняття на роботу з працівниками проводяться вступні</w:t>
      </w:r>
      <w:r w:rsidRPr="0030543B">
        <w:rPr>
          <w:b/>
          <w:sz w:val="28"/>
          <w:szCs w:val="28"/>
        </w:rPr>
        <w:t xml:space="preserve"> </w:t>
      </w:r>
      <w:r w:rsidRPr="0030543B">
        <w:rPr>
          <w:sz w:val="28"/>
          <w:szCs w:val="28"/>
        </w:rPr>
        <w:t xml:space="preserve">інструктажі з питань охорони праці, інструктажі з пожежної та техногенної безпеки, з надання </w:t>
      </w:r>
      <w:proofErr w:type="spellStart"/>
      <w:r w:rsidRPr="0030543B">
        <w:rPr>
          <w:sz w:val="28"/>
          <w:szCs w:val="28"/>
        </w:rPr>
        <w:t>домедичної</w:t>
      </w:r>
      <w:proofErr w:type="spellEnd"/>
      <w:r w:rsidRPr="0030543B">
        <w:rPr>
          <w:sz w:val="28"/>
          <w:szCs w:val="28"/>
        </w:rPr>
        <w:t xml:space="preserve"> допомоги потерпілим від нещасних випадків, а також з правил поведінки при виникненні аварійних ситуацій, пожеж і стихійних лих;</w:t>
      </w:r>
    </w:p>
    <w:p w:rsidR="00D71344" w:rsidRPr="0030543B" w:rsidRDefault="00D71344" w:rsidP="00D71344">
      <w:pPr>
        <w:jc w:val="both"/>
        <w:rPr>
          <w:sz w:val="28"/>
          <w:szCs w:val="28"/>
        </w:rPr>
      </w:pPr>
      <w:r w:rsidRPr="0030543B">
        <w:rPr>
          <w:sz w:val="28"/>
          <w:szCs w:val="28"/>
        </w:rPr>
        <w:t xml:space="preserve">- при прийомі на роботу проводився первинний інструктаж з охорони праці. </w:t>
      </w:r>
    </w:p>
    <w:p w:rsidR="00D71344" w:rsidRPr="0030543B" w:rsidRDefault="00CA0B70" w:rsidP="00D71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звітному році</w:t>
      </w:r>
      <w:r w:rsidR="00D71344" w:rsidRPr="0030543B">
        <w:rPr>
          <w:sz w:val="28"/>
          <w:szCs w:val="28"/>
        </w:rPr>
        <w:t xml:space="preserve"> проводилась </w:t>
      </w:r>
      <w:r w:rsidR="00F15367">
        <w:rPr>
          <w:sz w:val="28"/>
          <w:szCs w:val="28"/>
        </w:rPr>
        <w:t>р</w:t>
      </w:r>
      <w:r w:rsidR="00D71344" w:rsidRPr="0030543B">
        <w:rPr>
          <w:sz w:val="28"/>
          <w:szCs w:val="28"/>
        </w:rPr>
        <w:t>обота щодо поліпшення санітарних та побутових умов праці та відпочинку. Загалом виконано робіт  на загальну суму 438,20 тис. грн., що дозволило провести:</w:t>
      </w:r>
    </w:p>
    <w:p w:rsidR="00D71344" w:rsidRPr="0030543B" w:rsidRDefault="00D71344" w:rsidP="00CA0B70">
      <w:pPr>
        <w:ind w:firstLine="709"/>
        <w:jc w:val="both"/>
        <w:rPr>
          <w:sz w:val="28"/>
          <w:szCs w:val="28"/>
        </w:rPr>
      </w:pPr>
      <w:r w:rsidRPr="0030543B">
        <w:rPr>
          <w:sz w:val="28"/>
          <w:szCs w:val="28"/>
        </w:rPr>
        <w:t xml:space="preserve">-ремонт вартового приміщення 2-ї команди 1-го загону ВВО; </w:t>
      </w:r>
    </w:p>
    <w:p w:rsidR="00D71344" w:rsidRPr="0030543B" w:rsidRDefault="00D71344" w:rsidP="00CA0B70">
      <w:pPr>
        <w:ind w:firstLine="709"/>
        <w:jc w:val="both"/>
        <w:rPr>
          <w:sz w:val="28"/>
          <w:szCs w:val="28"/>
        </w:rPr>
      </w:pPr>
      <w:r w:rsidRPr="0030543B">
        <w:rPr>
          <w:sz w:val="28"/>
          <w:szCs w:val="28"/>
        </w:rPr>
        <w:t>-роботи з ремонту службових приміщень служби ФЗОР та РБ на пішохідному КПП № 10;</w:t>
      </w:r>
    </w:p>
    <w:p w:rsidR="00D71344" w:rsidRPr="0030543B" w:rsidRDefault="00D71344" w:rsidP="00CA0B70">
      <w:pPr>
        <w:ind w:firstLine="709"/>
        <w:jc w:val="both"/>
        <w:rPr>
          <w:sz w:val="28"/>
          <w:szCs w:val="28"/>
        </w:rPr>
      </w:pPr>
      <w:r w:rsidRPr="0030543B">
        <w:rPr>
          <w:sz w:val="28"/>
          <w:szCs w:val="28"/>
        </w:rPr>
        <w:t>- роботи з ремонту вартових приміщень, КПП 3-го та 1-го загону ВВО;</w:t>
      </w:r>
    </w:p>
    <w:p w:rsidR="00D71344" w:rsidRPr="0030543B" w:rsidRDefault="00D71344" w:rsidP="00CA0B70">
      <w:pPr>
        <w:ind w:firstLine="709"/>
        <w:jc w:val="both"/>
        <w:rPr>
          <w:sz w:val="28"/>
          <w:szCs w:val="28"/>
        </w:rPr>
      </w:pPr>
      <w:r w:rsidRPr="0030543B">
        <w:rPr>
          <w:sz w:val="28"/>
          <w:szCs w:val="28"/>
        </w:rPr>
        <w:t xml:space="preserve">-встановлення дверних блоків з металопластику в адміністративній будівлі; </w:t>
      </w:r>
    </w:p>
    <w:p w:rsidR="00D71344" w:rsidRPr="0030543B" w:rsidRDefault="00D71344" w:rsidP="00CA0B70">
      <w:pPr>
        <w:ind w:firstLine="709"/>
        <w:jc w:val="both"/>
        <w:rPr>
          <w:sz w:val="28"/>
          <w:szCs w:val="28"/>
        </w:rPr>
      </w:pPr>
      <w:r w:rsidRPr="0030543B">
        <w:rPr>
          <w:sz w:val="28"/>
          <w:szCs w:val="28"/>
        </w:rPr>
        <w:t xml:space="preserve">-роботи з ремонту приміщень адміністративної будівлі. </w:t>
      </w:r>
    </w:p>
    <w:p w:rsidR="00D71344" w:rsidRPr="0030543B" w:rsidRDefault="00D71344" w:rsidP="00D71344">
      <w:pPr>
        <w:rPr>
          <w:sz w:val="28"/>
          <w:szCs w:val="28"/>
        </w:rPr>
      </w:pPr>
    </w:p>
    <w:p w:rsidR="00D71344" w:rsidRPr="0030543B" w:rsidRDefault="00D71344" w:rsidP="00D71344">
      <w:pPr>
        <w:ind w:firstLine="709"/>
        <w:jc w:val="both"/>
        <w:rPr>
          <w:sz w:val="28"/>
          <w:szCs w:val="28"/>
        </w:rPr>
      </w:pPr>
      <w:r w:rsidRPr="0030543B">
        <w:rPr>
          <w:sz w:val="28"/>
          <w:szCs w:val="28"/>
        </w:rPr>
        <w:t>Працівники охорони були забезпечені спецодягом (форменим одягом), спецвзуттям, засобами індивідуального  захисту, необхідними профілактичними медикаментами, марлевими пов’язками та іншим.</w:t>
      </w:r>
    </w:p>
    <w:p w:rsidR="00D71344" w:rsidRPr="0030543B" w:rsidRDefault="00D71344" w:rsidP="00C75CFC">
      <w:pPr>
        <w:ind w:firstLine="709"/>
        <w:jc w:val="both"/>
        <w:rPr>
          <w:sz w:val="28"/>
          <w:szCs w:val="28"/>
        </w:rPr>
      </w:pPr>
      <w:r w:rsidRPr="0030543B">
        <w:rPr>
          <w:sz w:val="28"/>
          <w:szCs w:val="28"/>
        </w:rPr>
        <w:t>У</w:t>
      </w:r>
      <w:r w:rsidR="00C75CFC">
        <w:rPr>
          <w:sz w:val="28"/>
          <w:szCs w:val="28"/>
        </w:rPr>
        <w:t xml:space="preserve"> </w:t>
      </w:r>
      <w:r w:rsidRPr="0030543B">
        <w:rPr>
          <w:sz w:val="28"/>
          <w:szCs w:val="28"/>
        </w:rPr>
        <w:t xml:space="preserve"> IV кварталі 2018 року працівники підприємства зі шкідливими умовами праці пройшли медичний огляд на базі </w:t>
      </w:r>
      <w:r w:rsidR="002D0BCB">
        <w:rPr>
          <w:sz w:val="28"/>
          <w:szCs w:val="28"/>
        </w:rPr>
        <w:t>ДЗ</w:t>
      </w:r>
      <w:r w:rsidRPr="0030543B">
        <w:rPr>
          <w:sz w:val="28"/>
          <w:szCs w:val="28"/>
        </w:rPr>
        <w:t xml:space="preserve"> «Спеціалізована медико-санітарна частина №8 МОЗ України» (м. </w:t>
      </w:r>
      <w:proofErr w:type="spellStart"/>
      <w:r w:rsidRPr="0030543B">
        <w:rPr>
          <w:sz w:val="28"/>
          <w:szCs w:val="28"/>
        </w:rPr>
        <w:t>Кам’янське</w:t>
      </w:r>
      <w:proofErr w:type="spellEnd"/>
      <w:r w:rsidRPr="0030543B">
        <w:rPr>
          <w:sz w:val="28"/>
          <w:szCs w:val="28"/>
        </w:rPr>
        <w:t xml:space="preserve">) та </w:t>
      </w:r>
      <w:proofErr w:type="spellStart"/>
      <w:r w:rsidRPr="0030543B">
        <w:rPr>
          <w:sz w:val="28"/>
          <w:szCs w:val="28"/>
        </w:rPr>
        <w:t>Маловиськівської</w:t>
      </w:r>
      <w:proofErr w:type="spellEnd"/>
      <w:r w:rsidRPr="0030543B">
        <w:rPr>
          <w:sz w:val="28"/>
          <w:szCs w:val="28"/>
        </w:rPr>
        <w:t xml:space="preserve"> центральної районної лікарні (</w:t>
      </w:r>
      <w:proofErr w:type="spellStart"/>
      <w:r w:rsidRPr="0030543B">
        <w:rPr>
          <w:sz w:val="28"/>
          <w:szCs w:val="28"/>
        </w:rPr>
        <w:t>м.Мала</w:t>
      </w:r>
      <w:proofErr w:type="spellEnd"/>
      <w:r w:rsidRPr="0030543B">
        <w:rPr>
          <w:sz w:val="28"/>
          <w:szCs w:val="28"/>
        </w:rPr>
        <w:t xml:space="preserve"> Виска, Кіровоградська область) за списками погодженими з Управлінням з питань праці ГУ </w:t>
      </w:r>
      <w:proofErr w:type="spellStart"/>
      <w:r w:rsidRPr="0030543B">
        <w:rPr>
          <w:sz w:val="28"/>
          <w:szCs w:val="28"/>
        </w:rPr>
        <w:t>Держпраці</w:t>
      </w:r>
      <w:proofErr w:type="spellEnd"/>
      <w:r w:rsidRPr="0030543B">
        <w:rPr>
          <w:sz w:val="28"/>
          <w:szCs w:val="28"/>
        </w:rPr>
        <w:t>. Загальна кількість – 200 осіб.</w:t>
      </w:r>
    </w:p>
    <w:p w:rsidR="00D510CE" w:rsidRPr="00D510CE" w:rsidRDefault="00D510CE" w:rsidP="00D510CE">
      <w:pPr>
        <w:ind w:firstLine="709"/>
        <w:jc w:val="both"/>
        <w:rPr>
          <w:sz w:val="28"/>
          <w:szCs w:val="28"/>
        </w:rPr>
      </w:pPr>
      <w:r w:rsidRPr="00D510CE">
        <w:rPr>
          <w:sz w:val="28"/>
          <w:szCs w:val="28"/>
        </w:rPr>
        <w:t xml:space="preserve">Завдяки проведенню заходів з охорони праці керівниками загонів, начальниками відділів, служб, працівниками сектору охорони праці та пожежної безпеки,  у 2018 році, як і за попередні роки, не допущено виробничих травм та  професійних  захворювань  серед  працюючих. </w:t>
      </w:r>
    </w:p>
    <w:p w:rsidR="00D510CE" w:rsidRPr="00D510CE" w:rsidRDefault="00D510CE" w:rsidP="00D510C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71344" w:rsidRPr="00D510CE" w:rsidRDefault="00D71344" w:rsidP="00D71344">
      <w:pPr>
        <w:ind w:left="567"/>
        <w:jc w:val="both"/>
        <w:rPr>
          <w:b/>
          <w:sz w:val="28"/>
          <w:szCs w:val="28"/>
        </w:rPr>
      </w:pPr>
    </w:p>
    <w:sectPr w:rsidR="00D71344" w:rsidRPr="00D510CE" w:rsidSect="00A50CC5">
      <w:headerReference w:type="default" r:id="rId10"/>
      <w:pgSz w:w="11907" w:h="16840"/>
      <w:pgMar w:top="709" w:right="708" w:bottom="851" w:left="1247" w:header="624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A0" w:rsidRDefault="005A0FA0" w:rsidP="00A50CC5">
      <w:r>
        <w:separator/>
      </w:r>
    </w:p>
  </w:endnote>
  <w:endnote w:type="continuationSeparator" w:id="0">
    <w:p w:rsidR="005A0FA0" w:rsidRDefault="005A0FA0" w:rsidP="00A5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A0" w:rsidRDefault="005A0FA0" w:rsidP="00A50CC5">
      <w:r>
        <w:separator/>
      </w:r>
    </w:p>
  </w:footnote>
  <w:footnote w:type="continuationSeparator" w:id="0">
    <w:p w:rsidR="005A0FA0" w:rsidRDefault="005A0FA0" w:rsidP="00A50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3B" w:rsidRDefault="00951A3B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786"/>
    <w:multiLevelType w:val="hybridMultilevel"/>
    <w:tmpl w:val="8F9CEC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267769"/>
    <w:multiLevelType w:val="multilevel"/>
    <w:tmpl w:val="A9B87EF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9706AAC"/>
    <w:multiLevelType w:val="hybridMultilevel"/>
    <w:tmpl w:val="CA78DD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E373774"/>
    <w:multiLevelType w:val="hybridMultilevel"/>
    <w:tmpl w:val="446A2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1405A"/>
    <w:multiLevelType w:val="hybridMultilevel"/>
    <w:tmpl w:val="F2BE26A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7191154"/>
    <w:multiLevelType w:val="hybridMultilevel"/>
    <w:tmpl w:val="7F5EBD52"/>
    <w:lvl w:ilvl="0" w:tplc="C7B61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3F04BF"/>
    <w:multiLevelType w:val="hybridMultilevel"/>
    <w:tmpl w:val="62BE90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22F6E"/>
    <w:multiLevelType w:val="hybridMultilevel"/>
    <w:tmpl w:val="96802F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801C9"/>
    <w:multiLevelType w:val="hybridMultilevel"/>
    <w:tmpl w:val="683656AA"/>
    <w:lvl w:ilvl="0" w:tplc="A3382B28">
      <w:numFmt w:val="bullet"/>
      <w:lvlText w:val="-"/>
      <w:lvlJc w:val="left"/>
      <w:pPr>
        <w:tabs>
          <w:tab w:val="num" w:pos="1528"/>
        </w:tabs>
        <w:ind w:left="15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44"/>
    <w:rsid w:val="00243369"/>
    <w:rsid w:val="002A288F"/>
    <w:rsid w:val="002D0BCB"/>
    <w:rsid w:val="00316B86"/>
    <w:rsid w:val="003C6D84"/>
    <w:rsid w:val="00442FA9"/>
    <w:rsid w:val="004E5BD7"/>
    <w:rsid w:val="00521548"/>
    <w:rsid w:val="00557485"/>
    <w:rsid w:val="005A0FA0"/>
    <w:rsid w:val="005C11B5"/>
    <w:rsid w:val="00605437"/>
    <w:rsid w:val="00607957"/>
    <w:rsid w:val="00707535"/>
    <w:rsid w:val="00750CBE"/>
    <w:rsid w:val="007751EB"/>
    <w:rsid w:val="008010DE"/>
    <w:rsid w:val="00843C51"/>
    <w:rsid w:val="008C2986"/>
    <w:rsid w:val="008E3FED"/>
    <w:rsid w:val="00902206"/>
    <w:rsid w:val="00951A3B"/>
    <w:rsid w:val="009E210B"/>
    <w:rsid w:val="00A50CC5"/>
    <w:rsid w:val="00AB4FAD"/>
    <w:rsid w:val="00BB151D"/>
    <w:rsid w:val="00C75CFC"/>
    <w:rsid w:val="00CA0B70"/>
    <w:rsid w:val="00CD5D19"/>
    <w:rsid w:val="00D510CE"/>
    <w:rsid w:val="00D71344"/>
    <w:rsid w:val="00E03EA9"/>
    <w:rsid w:val="00E258D9"/>
    <w:rsid w:val="00F15367"/>
    <w:rsid w:val="00F37651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99FDD-A1BD-44F9-B275-CC27BD25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44"/>
    <w:pPr>
      <w:ind w:left="0" w:firstLine="0"/>
    </w:pPr>
    <w:rPr>
      <w:rFonts w:ascii="Times New Roman" w:eastAsia="Times New Roman" w:hAnsi="Times New Roman" w:cs="Times New Roman"/>
      <w:spacing w:val="-2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1344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1344"/>
    <w:rPr>
      <w:rFonts w:ascii="Times New Roman" w:eastAsia="Times New Roman" w:hAnsi="Times New Roman" w:cs="Times New Roman"/>
      <w:b/>
      <w:spacing w:val="-2"/>
      <w:sz w:val="36"/>
      <w:szCs w:val="20"/>
      <w:lang w:eastAsia="ru-RU"/>
    </w:rPr>
  </w:style>
  <w:style w:type="character" w:styleId="a3">
    <w:name w:val="page number"/>
    <w:basedOn w:val="a0"/>
    <w:rsid w:val="00D71344"/>
  </w:style>
  <w:style w:type="paragraph" w:customStyle="1" w:styleId="de">
    <w:name w:val="de"/>
    <w:rsid w:val="00D71344"/>
    <w:pPr>
      <w:keepNext/>
      <w:widowControl w:val="0"/>
      <w:tabs>
        <w:tab w:val="left" w:pos="-3402"/>
        <w:tab w:val="left" w:pos="709"/>
        <w:tab w:val="left" w:leader="dot" w:pos="851"/>
      </w:tabs>
      <w:ind w:left="57" w:firstLine="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4">
    <w:name w:val="Body Text"/>
    <w:basedOn w:val="a"/>
    <w:link w:val="a5"/>
    <w:rsid w:val="00D71344"/>
    <w:pPr>
      <w:keepNext/>
      <w:tabs>
        <w:tab w:val="left" w:pos="709"/>
        <w:tab w:val="left" w:leader="dot" w:pos="8505"/>
      </w:tabs>
      <w:spacing w:after="120"/>
      <w:jc w:val="both"/>
    </w:pPr>
    <w:rPr>
      <w:spacing w:val="0"/>
    </w:rPr>
  </w:style>
  <w:style w:type="character" w:customStyle="1" w:styleId="a5">
    <w:name w:val="Основной текст Знак"/>
    <w:basedOn w:val="a0"/>
    <w:link w:val="a4"/>
    <w:rsid w:val="00D7134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header"/>
    <w:aliases w:val="»нд. программа,“»”Ћ№Ќ Ћ»—“"/>
    <w:basedOn w:val="a"/>
    <w:link w:val="a7"/>
    <w:rsid w:val="00D71344"/>
    <w:pPr>
      <w:tabs>
        <w:tab w:val="center" w:pos="4536"/>
        <w:tab w:val="right" w:pos="9072"/>
      </w:tabs>
      <w:jc w:val="both"/>
    </w:pPr>
    <w:rPr>
      <w:spacing w:val="0"/>
      <w:sz w:val="20"/>
    </w:rPr>
  </w:style>
  <w:style w:type="character" w:customStyle="1" w:styleId="a7">
    <w:name w:val="Верхний колонтитул Знак"/>
    <w:basedOn w:val="a0"/>
    <w:link w:val="a6"/>
    <w:rsid w:val="00D71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D71344"/>
    <w:pPr>
      <w:tabs>
        <w:tab w:val="left" w:pos="567"/>
      </w:tabs>
      <w:ind w:firstLine="567"/>
      <w:jc w:val="both"/>
    </w:pPr>
    <w:rPr>
      <w:spacing w:val="0"/>
    </w:rPr>
  </w:style>
  <w:style w:type="character" w:customStyle="1" w:styleId="a9">
    <w:name w:val="Основной текст с отступом Знак"/>
    <w:basedOn w:val="a0"/>
    <w:link w:val="a8"/>
    <w:rsid w:val="00D7134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D71344"/>
    <w:pPr>
      <w:tabs>
        <w:tab w:val="left" w:pos="567"/>
      </w:tabs>
      <w:jc w:val="both"/>
    </w:pPr>
    <w:rPr>
      <w:i/>
    </w:rPr>
  </w:style>
  <w:style w:type="character" w:customStyle="1" w:styleId="30">
    <w:name w:val="Основной текст 3 Знак"/>
    <w:basedOn w:val="a0"/>
    <w:link w:val="3"/>
    <w:rsid w:val="00D71344"/>
    <w:rPr>
      <w:rFonts w:ascii="Times New Roman" w:eastAsia="Times New Roman" w:hAnsi="Times New Roman" w:cs="Times New Roman"/>
      <w:i/>
      <w:spacing w:val="-2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D71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D71344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aa">
    <w:name w:val=" Знак Знак"/>
    <w:rsid w:val="00D71344"/>
    <w:rPr>
      <w:rFonts w:ascii="Times New Roman CYR" w:hAnsi="Times New Roman CYR"/>
      <w:sz w:val="26"/>
      <w:lang w:val="ru-RU" w:eastAsia="ru-RU" w:bidi="ar-SA"/>
    </w:rPr>
  </w:style>
  <w:style w:type="paragraph" w:customStyle="1" w:styleId="1">
    <w:name w:val="список 1)"/>
    <w:basedOn w:val="a"/>
    <w:rsid w:val="00D71344"/>
    <w:pPr>
      <w:numPr>
        <w:numId w:val="1"/>
      </w:numPr>
      <w:jc w:val="both"/>
    </w:pPr>
    <w:rPr>
      <w:spacing w:val="0"/>
      <w:sz w:val="24"/>
      <w:szCs w:val="24"/>
      <w:lang w:val="ru-RU"/>
    </w:rPr>
  </w:style>
  <w:style w:type="paragraph" w:styleId="ab">
    <w:name w:val="List Paragraph"/>
    <w:basedOn w:val="a"/>
    <w:qFormat/>
    <w:rsid w:val="00D71344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rvts82">
    <w:name w:val="rvts82"/>
    <w:rsid w:val="00D71344"/>
  </w:style>
  <w:style w:type="paragraph" w:styleId="ac">
    <w:name w:val="footer"/>
    <w:basedOn w:val="a"/>
    <w:link w:val="ad"/>
    <w:uiPriority w:val="99"/>
    <w:unhideWhenUsed/>
    <w:rsid w:val="00A50CC5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0CC5"/>
    <w:rPr>
      <w:rFonts w:ascii="Times New Roman" w:eastAsia="Times New Roman" w:hAnsi="Times New Roman" w:cs="Times New Roman"/>
      <w:spacing w:val="-2"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1536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15367"/>
    <w:rPr>
      <w:rFonts w:ascii="Segoe UI" w:eastAsia="Times New Roman" w:hAnsi="Segoe UI" w:cs="Segoe UI"/>
      <w:spacing w:val="-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uk-UA" sz="1300"/>
              <a:t>Порівняння стану виробничого травматизму 
в енергетичній галузі Міненерговугілля України 
і в ДП "НАЕК "Енергоатом" за період 1999-2018 роки</a:t>
            </a:r>
          </a:p>
        </c:rich>
      </c:tx>
      <c:layout>
        <c:manualLayout>
          <c:xMode val="edge"/>
          <c:yMode val="edge"/>
          <c:x val="0.15615615615615616"/>
          <c:y val="1.6949152542372881E-2"/>
        </c:manualLayout>
      </c:layout>
      <c:overlay val="0"/>
      <c:spPr>
        <a:gradFill rotWithShape="0">
          <a:gsLst>
            <a:gs pos="0">
              <a:srgbClr xmlns:mc="http://schemas.openxmlformats.org/markup-compatibility/2006" xmlns:a14="http://schemas.microsoft.com/office/drawing/2010/main" val="CCCCFF" mc:Ignorable="a14" a14:legacySpreadsheetColorIndex="31"/>
            </a:gs>
            <a:gs pos="50000">
              <a:srgbClr xmlns:mc="http://schemas.openxmlformats.org/markup-compatibility/2006" xmlns:a14="http://schemas.microsoft.com/office/drawing/2010/main" val="FFFFFF" mc:Ignorable="a14" a14:legacySpreadsheetColorIndex="9"/>
            </a:gs>
            <a:gs pos="100000">
              <a:srgbClr xmlns:mc="http://schemas.openxmlformats.org/markup-compatibility/2006" xmlns:a14="http://schemas.microsoft.com/office/drawing/2010/main" val="CCCCFF" mc:Ignorable="a14" a14:legacySpreadsheetColorIndex="31"/>
            </a:gs>
          </a:gsLst>
          <a:lin ang="0" scaled="1"/>
        </a:gradFill>
        <a:ln w="12700">
          <a:solidFill>
            <a:srgbClr val="333399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plotArea>
      <c:layout>
        <c:manualLayout>
          <c:layoutTarget val="inner"/>
          <c:xMode val="edge"/>
          <c:yMode val="edge"/>
          <c:x val="0.1036036036036036"/>
          <c:y val="0.18983050847457628"/>
          <c:w val="0.87537537537537535"/>
          <c:h val="0.706779661016949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Енергетична галузь Міненерговугілля України</c:v>
                </c:pt>
              </c:strCache>
            </c:strRef>
          </c:tx>
          <c:spPr>
            <a:pattFill prst="pct50">
              <a:fgClr>
                <a:srgbClr xmlns:mc="http://schemas.openxmlformats.org/markup-compatibility/2006" xmlns:a14="http://schemas.microsoft.com/office/drawing/2010/main" val="800080" mc:Ignorable="a14" a14:legacySpreadsheetColorIndex="20"/>
              </a:fgClr>
              <a:bgClr>
                <a:srgbClr xmlns:mc="http://schemas.openxmlformats.org/markup-compatibility/2006" xmlns:a14="http://schemas.microsoft.com/office/drawing/2010/main" val="9999FF" mc:Ignorable="a14" a14:legacySpreadsheetColorIndex="24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714612016853073E-2"/>
                  <c:y val="-3.2265433992003434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CC99FF" mc:Ignorable="a14" a14:legacySpreadsheetColorIndex="46"/>
                    </a:gs>
                  </a:gsLst>
                  <a:lin ang="5400000" scaled="1"/>
                </a:gradFill>
                <a:ln w="12700">
                  <a:solidFill>
                    <a:srgbClr val="666699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5226678945637062E-3"/>
                  <c:y val="-2.8086331450941998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CC99FF" mc:Ignorable="a14" a14:legacySpreadsheetColorIndex="46"/>
                    </a:gs>
                  </a:gsLst>
                  <a:lin ang="5400000" scaled="1"/>
                </a:gradFill>
                <a:ln w="12700">
                  <a:solidFill>
                    <a:srgbClr val="666699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550672090344828E-3"/>
                  <c:y val="-2.6715869499582851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CC99FF" mc:Ignorable="a14" a14:legacySpreadsheetColorIndex="46"/>
                    </a:gs>
                  </a:gsLst>
                  <a:lin ang="5400000" scaled="1"/>
                </a:gradFill>
                <a:ln w="12700">
                  <a:solidFill>
                    <a:srgbClr val="666699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297993096297087E-3"/>
                  <c:y val="-2.1485826257177931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CC99FF" mc:Ignorable="a14" a14:legacySpreadsheetColorIndex="46"/>
                    </a:gs>
                  </a:gsLst>
                  <a:lin ang="5400000" scaled="1"/>
                </a:gradFill>
                <a:ln w="12700">
                  <a:solidFill>
                    <a:srgbClr val="666699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3091912207599568E-3"/>
                  <c:y val="-2.8807729928017139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CC99FF" mc:Ignorable="a14" a14:legacySpreadsheetColorIndex="46"/>
                    </a:gs>
                  </a:gsLst>
                  <a:lin ang="5400000" scaled="1"/>
                </a:gradFill>
                <a:ln w="12700">
                  <a:solidFill>
                    <a:srgbClr val="666699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9.2208268465082677E-4"/>
                  <c:y val="-2.9020900963221963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CC99FF" mc:Ignorable="a14" a14:legacySpreadsheetColorIndex="46"/>
                    </a:gs>
                  </a:gsLst>
                  <a:lin ang="5400000" scaled="1"/>
                </a:gradFill>
                <a:ln w="12700">
                  <a:solidFill>
                    <a:srgbClr val="666699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3631599264549226E-3"/>
                  <c:y val="-2.5379265891715741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CC99FF" mc:Ignorable="a14" a14:legacySpreadsheetColorIndex="46"/>
                    </a:gs>
                  </a:gsLst>
                  <a:lin ang="5400000" scaled="1"/>
                </a:gradFill>
                <a:ln w="12700">
                  <a:solidFill>
                    <a:srgbClr val="666699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3726184834604305E-3"/>
                  <c:y val="-2.7035390749598487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CC99FF" mc:Ignorable="a14" a14:legacySpreadsheetColorIndex="46"/>
                    </a:gs>
                  </a:gsLst>
                  <a:lin ang="5400000" scaled="1"/>
                </a:gradFill>
                <a:ln w="12700">
                  <a:solidFill>
                    <a:srgbClr val="666699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4052719261683499E-3"/>
                  <c:y val="-2.5229036359160184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CC99FF" mc:Ignorable="a14" a14:legacySpreadsheetColorIndex="46"/>
                    </a:gs>
                  </a:gsLst>
                  <a:lin ang="5400000" scaled="1"/>
                </a:gradFill>
                <a:ln w="12700">
                  <a:solidFill>
                    <a:srgbClr val="666699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1800040267636591E-3"/>
                  <c:y val="-1.9529399202711684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CC99FF" mc:Ignorable="a14" a14:legacySpreadsheetColorIndex="46"/>
                    </a:gs>
                  </a:gsLst>
                  <a:lin ang="5400000" scaled="1"/>
                </a:gradFill>
                <a:ln w="12700">
                  <a:solidFill>
                    <a:srgbClr val="666699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6.9607421333648389E-3"/>
                  <c:y val="-1.9815062109235337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CC99FF" mc:Ignorable="a14" a14:legacySpreadsheetColorIndex="46"/>
                    </a:gs>
                  </a:gsLst>
                  <a:lin ang="5400000" scaled="1"/>
                </a:gradFill>
                <a:ln w="12700">
                  <a:solidFill>
                    <a:srgbClr val="666699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7.2946822795394439E-4"/>
                  <c:y val="-2.543727534150253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CC99FF" mc:Ignorable="a14" a14:legacySpreadsheetColorIndex="46"/>
                    </a:gs>
                  </a:gsLst>
                  <a:lin ang="5400000" scaled="1"/>
                </a:gradFill>
                <a:ln w="12700">
                  <a:solidFill>
                    <a:srgbClr val="666699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8017963451033578E-3"/>
                  <c:y val="-3.390707642835411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CC99FF" mc:Ignorable="a14" a14:legacySpreadsheetColorIndex="46"/>
                    </a:gs>
                  </a:gsLst>
                  <a:lin ang="5400000" scaled="1"/>
                </a:gradFill>
                <a:ln w="12700">
                  <a:solidFill>
                    <a:srgbClr val="666699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1.7805892366764553E-3"/>
                  <c:y val="-2.445914024853324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CC99FF" mc:Ignorable="a14" a14:legacySpreadsheetColorIndex="46"/>
                    </a:gs>
                  </a:gsLst>
                  <a:lin ang="5400000" scaled="1"/>
                </a:gradFill>
                <a:ln w="12700">
                  <a:solidFill>
                    <a:srgbClr val="666699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1.2065831847782205E-2"/>
                  <c:y val="-2.8894979405488797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CC99FF" mc:Ignorable="a14" a14:legacySpreadsheetColorIndex="46"/>
                    </a:gs>
                  </a:gsLst>
                  <a:lin ang="5400000" scaled="1"/>
                </a:gradFill>
                <a:ln w="12700">
                  <a:solidFill>
                    <a:srgbClr val="666699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5.5314089656911536E-3"/>
                  <c:y val="-2.7379219974436597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CC99FF" mc:Ignorable="a14" a14:legacySpreadsheetColorIndex="46"/>
                    </a:gs>
                  </a:gsLst>
                  <a:lin ang="5400000" scaled="1"/>
                </a:gradFill>
                <a:ln w="12700">
                  <a:solidFill>
                    <a:srgbClr val="666699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2.3032933693138968E-3"/>
                  <c:y val="-2.2321612467017301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CC99FF" mc:Ignorable="a14" a14:legacySpreadsheetColorIndex="46"/>
                    </a:gs>
                  </a:gsLst>
                  <a:lin ang="5400000" scaled="1"/>
                </a:gradFill>
                <a:ln w="12700">
                  <a:solidFill>
                    <a:srgbClr val="666699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264C-4D71-89FF-92B93B937336}"/>
                </c:ext>
                <c:ext xmlns:c15="http://schemas.microsoft.com/office/drawing/2012/chart" uri="{CE6537A1-D6FC-4f65-9D91-7224C49458BB}">
                  <c15:layout>
                    <c:manualLayout>
                      <c:w val="3.1065088757396449E-2"/>
                      <c:h val="3.2304092778322017E-2"/>
                    </c:manualLayout>
                  </c15:layout>
                </c:ext>
              </c:extLst>
            </c:dLbl>
            <c:dLbl>
              <c:idx val="17"/>
              <c:layout>
                <c:manualLayout>
                  <c:x val="-6.2182855641368384E-4"/>
                  <c:y val="-2.5180695594136049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CC99FF" mc:Ignorable="a14" a14:legacySpreadsheetColorIndex="46"/>
                    </a:gs>
                  </a:gsLst>
                  <a:lin ang="5400000" scaled="1"/>
                </a:gradFill>
                <a:ln w="12700">
                  <a:solidFill>
                    <a:srgbClr val="666699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1.9723865877712033E-3"/>
                  <c:y val="-1.5937842414583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A27-4CFD-8D4D-878643B160EF}"/>
                </c:ex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0"/>
                  <c:y val="-1.5937842414583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A27-4CFD-8D4D-878643B160EF}"/>
                </c:ext>
                <c:ext xmlns:c15="http://schemas.microsoft.com/office/drawing/2012/chart" uri="{CE6537A1-D6FC-4f65-9D91-7224C49458BB}"/>
              </c:extLst>
            </c:dLbl>
            <c:spPr>
              <a:gradFill rotWithShape="0">
                <a:gsLst>
                  <a:gs pos="0">
                    <a:srgbClr xmlns:mc="http://schemas.openxmlformats.org/markup-compatibility/2006" xmlns:a14="http://schemas.microsoft.com/office/drawing/2010/main" val="FFFFFF" mc:Ignorable="a14" a14:legacySpreadsheetColorIndex="9"/>
                  </a:gs>
                  <a:gs pos="100000">
                    <a:srgbClr xmlns:mc="http://schemas.openxmlformats.org/markup-compatibility/2006" xmlns:a14="http://schemas.microsoft.com/office/drawing/2010/main" val="CC99FF" mc:Ignorable="a14" a14:legacySpreadsheetColorIndex="46"/>
                  </a:gs>
                </a:gsLst>
                <a:lin ang="5400000" scaled="1"/>
              </a:gradFill>
              <a:ln w="12700">
                <a:solidFill>
                  <a:srgbClr val="666699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Sheet1!$B$1:$U$1</c:f>
              <c:numCache>
                <c:formatCode>General</c:formatCode>
                <c:ptCount val="20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</c:numCache>
            </c:numRef>
          </c:cat>
          <c:val>
            <c:numRef>
              <c:f>Sheet1!$B$2:$U$2</c:f>
              <c:numCache>
                <c:formatCode>General</c:formatCode>
                <c:ptCount val="20"/>
                <c:pt idx="0">
                  <c:v>265</c:v>
                </c:pt>
                <c:pt idx="1">
                  <c:v>304</c:v>
                </c:pt>
                <c:pt idx="2">
                  <c:v>303</c:v>
                </c:pt>
                <c:pt idx="3">
                  <c:v>293</c:v>
                </c:pt>
                <c:pt idx="4">
                  <c:v>307</c:v>
                </c:pt>
                <c:pt idx="5">
                  <c:v>275</c:v>
                </c:pt>
                <c:pt idx="6">
                  <c:v>281</c:v>
                </c:pt>
                <c:pt idx="7">
                  <c:v>255</c:v>
                </c:pt>
                <c:pt idx="8">
                  <c:v>224</c:v>
                </c:pt>
                <c:pt idx="9">
                  <c:v>205</c:v>
                </c:pt>
                <c:pt idx="10">
                  <c:v>178</c:v>
                </c:pt>
                <c:pt idx="11">
                  <c:v>145</c:v>
                </c:pt>
                <c:pt idx="12">
                  <c:v>98</c:v>
                </c:pt>
                <c:pt idx="13">
                  <c:v>101</c:v>
                </c:pt>
                <c:pt idx="14">
                  <c:v>103</c:v>
                </c:pt>
                <c:pt idx="15">
                  <c:v>92</c:v>
                </c:pt>
                <c:pt idx="16">
                  <c:v>91</c:v>
                </c:pt>
                <c:pt idx="17">
                  <c:v>104</c:v>
                </c:pt>
                <c:pt idx="18">
                  <c:v>95</c:v>
                </c:pt>
                <c:pt idx="19">
                  <c:v>109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264C-4D71-89FF-92B93B93733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ДП "НАЕК "Енергоатом"</c:v>
                </c:pt>
              </c:strCache>
            </c:strRef>
          </c:tx>
          <c:spPr>
            <a:solidFill>
              <a:srgbClr val="008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148498589443477E-2"/>
                  <c:y val="-4.4706380469166418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700">
                  <a:solidFill>
                    <a:srgbClr val="008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424732191540199E-2"/>
                  <c:y val="-4.3733020560531966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700">
                  <a:solidFill>
                    <a:srgbClr val="008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199464292135397E-2"/>
                  <c:y val="-4.2938816475082575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700">
                  <a:solidFill>
                    <a:srgbClr val="008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974196392730623E-2"/>
                  <c:y val="-4.1568354523723428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700">
                  <a:solidFill>
                    <a:srgbClr val="008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9752086802359348E-2"/>
                  <c:y val="-4.3587723080838914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700">
                  <a:solidFill>
                    <a:srgbClr val="008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9526818902954546E-2"/>
                  <c:y val="-4.3190621038114219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700">
                  <a:solidFill>
                    <a:srgbClr val="008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794043496042295E-2"/>
                  <c:y val="-4.2362558609172818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700">
                  <a:solidFill>
                    <a:srgbClr val="008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6073280101141951E-2"/>
                  <c:y val="-3.8827430621005132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700">
                  <a:solidFill>
                    <a:srgbClr val="008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5848167507767741E-2"/>
                  <c:y val="-3.9800790529639696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700">
                  <a:solidFill>
                    <a:srgbClr val="008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2955213518508368E-2"/>
                  <c:y val="-4.4488434249626785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700">
                  <a:solidFill>
                    <a:srgbClr val="008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5732948622106613E-2"/>
                  <c:y val="-4.4163980946748671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700">
                  <a:solidFill>
                    <a:srgbClr val="008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9.5018300227264207E-3"/>
                  <c:y val="-3.157801882148481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700">
                  <a:solidFill>
                    <a:srgbClr val="008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0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7.7750606218200957E-3"/>
                  <c:y val="-3.0207556870125662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700">
                  <a:solidFill>
                    <a:srgbClr val="008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1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1.5437867164093122E-3"/>
                  <c:y val="-4.1098603741152262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700">
                  <a:solidFill>
                    <a:srgbClr val="008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2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8.8260263245121262E-3"/>
                  <c:y val="-2.0362518647580097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700">
                  <a:solidFill>
                    <a:srgbClr val="008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3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1.0934062236302999E-3"/>
                  <c:y val="-3.157801882148481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700">
                  <a:solidFill>
                    <a:srgbClr val="008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4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5.3726428287300676E-3"/>
                  <c:y val="-2.3427895853176506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700">
                  <a:solidFill>
                    <a:srgbClr val="008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5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6.6488064731553527E-3"/>
                  <c:y val="-4.1341602396323632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700">
                  <a:solidFill>
                    <a:srgbClr val="008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5.3930019102641754E-3"/>
                  <c:y val="-2.4203715744815838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700">
                  <a:solidFill>
                    <a:srgbClr val="008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264C-4D71-89FF-92B93B937336}"/>
                </c:ex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9723865877712033E-3"/>
                  <c:y val="-3.1875684829166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A27-4CFD-8D4D-878643B160EF}"/>
                </c:ext>
                <c:ext xmlns:c15="http://schemas.microsoft.com/office/drawing/2012/chart" uri="{CE6537A1-D6FC-4f65-9D91-7224C49458BB}"/>
              </c:extLst>
            </c:dLbl>
            <c:spPr>
              <a:gradFill rotWithShape="0">
                <a:gsLst>
                  <a:gs pos="0">
                    <a:srgbClr xmlns:mc="http://schemas.openxmlformats.org/markup-compatibility/2006" xmlns:a14="http://schemas.microsoft.com/office/drawing/2010/main" val="FFFFFF" mc:Ignorable="a14" a14:legacySpreadsheetColorIndex="9"/>
                  </a:gs>
                  <a:gs pos="100000">
                    <a:srgbClr xmlns:mc="http://schemas.openxmlformats.org/markup-compatibility/2006" xmlns:a14="http://schemas.microsoft.com/office/drawing/2010/main" val="99CC00" mc:Ignorable="a14" a14:legacySpreadsheetColorIndex="50"/>
                  </a:gs>
                </a:gsLst>
                <a:lin ang="5400000" scaled="1"/>
              </a:gradFill>
              <a:ln w="12700">
                <a:solidFill>
                  <a:srgbClr val="008000"/>
                </a:solidFill>
                <a:prstDash val="solid"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Sheet1!$B$1:$U$1</c:f>
              <c:numCache>
                <c:formatCode>General</c:formatCode>
                <c:ptCount val="20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</c:numCache>
            </c:numRef>
          </c:cat>
          <c:val>
            <c:numRef>
              <c:f>Sheet1!$B$3:$U$3</c:f>
              <c:numCache>
                <c:formatCode>General</c:formatCode>
                <c:ptCount val="20"/>
                <c:pt idx="0">
                  <c:v>21</c:v>
                </c:pt>
                <c:pt idx="1">
                  <c:v>24</c:v>
                </c:pt>
                <c:pt idx="2">
                  <c:v>16</c:v>
                </c:pt>
                <c:pt idx="3">
                  <c:v>15</c:v>
                </c:pt>
                <c:pt idx="4">
                  <c:v>14</c:v>
                </c:pt>
                <c:pt idx="5">
                  <c:v>10</c:v>
                </c:pt>
                <c:pt idx="6">
                  <c:v>23</c:v>
                </c:pt>
                <c:pt idx="7">
                  <c:v>13</c:v>
                </c:pt>
                <c:pt idx="8">
                  <c:v>10</c:v>
                </c:pt>
                <c:pt idx="9">
                  <c:v>6</c:v>
                </c:pt>
                <c:pt idx="10">
                  <c:v>7</c:v>
                </c:pt>
                <c:pt idx="11">
                  <c:v>4</c:v>
                </c:pt>
                <c:pt idx="12">
                  <c:v>3</c:v>
                </c:pt>
                <c:pt idx="13">
                  <c:v>6</c:v>
                </c:pt>
                <c:pt idx="14">
                  <c:v>2</c:v>
                </c:pt>
                <c:pt idx="15">
                  <c:v>4</c:v>
                </c:pt>
                <c:pt idx="16">
                  <c:v>3</c:v>
                </c:pt>
                <c:pt idx="17">
                  <c:v>8</c:v>
                </c:pt>
                <c:pt idx="18">
                  <c:v>4</c:v>
                </c:pt>
                <c:pt idx="19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6-264C-4D71-89FF-92B93B93733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999659168"/>
        <c:axId val="-999664064"/>
      </c:barChart>
      <c:catAx>
        <c:axId val="-999659168"/>
        <c:scaling>
          <c:orientation val="minMax"/>
        </c:scaling>
        <c:delete val="0"/>
        <c:axPos val="b"/>
        <c:majorGridlines>
          <c:spPr>
            <a:ln w="12700">
              <a:solidFill>
                <a:srgbClr val="969696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uk-UA"/>
                  <a:t>Роки</a:t>
                </a:r>
              </a:p>
            </c:rich>
          </c:tx>
          <c:layout>
            <c:manualLayout>
              <c:xMode val="edge"/>
              <c:yMode val="edge"/>
              <c:x val="0.93093093093093093"/>
              <c:y val="0.9491525423728813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-999664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999664064"/>
        <c:scaling>
          <c:orientation val="minMax"/>
        </c:scaling>
        <c:delete val="0"/>
        <c:axPos val="l"/>
        <c:majorGridlines>
          <c:spPr>
            <a:ln w="12700">
              <a:solidFill>
                <a:srgbClr val="969696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 algn="r">
                  <a:defRPr sz="12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uk-UA"/>
                  <a:t>Кількість нещасних випадків</a:t>
                </a:r>
              </a:p>
            </c:rich>
          </c:tx>
          <c:layout>
            <c:manualLayout>
              <c:xMode val="edge"/>
              <c:yMode val="edge"/>
              <c:x val="0"/>
              <c:y val="0.1372881355932203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-999659168"/>
        <c:crosses val="autoZero"/>
        <c:crossBetween val="between"/>
      </c:valAx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</c:legendEntry>
      <c:legendEntry>
        <c:idx val="1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</c:legendEntry>
      <c:layout>
        <c:manualLayout>
          <c:xMode val="edge"/>
          <c:yMode val="edge"/>
          <c:x val="0.75975975975975973"/>
          <c:y val="0.16440677966101694"/>
          <c:w val="0.23423423423423423"/>
          <c:h val="0.30847457627118646"/>
        </c:manualLayout>
      </c:layout>
      <c:overlay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FFFF" mc:Ignorable="a14" a14:legacySpreadsheetColorIndex="9"/>
            </a:gs>
            <a:gs pos="100000">
              <a:srgbClr xmlns:mc="http://schemas.openxmlformats.org/markup-compatibility/2006" xmlns:a14="http://schemas.microsoft.com/office/drawing/2010/main" val="CCCCFF" mc:Ignorable="a14" a14:legacySpreadsheetColorIndex="31"/>
            </a:gs>
          </a:gsLst>
          <a:lin ang="0" scaled="1"/>
        </a:gradFill>
        <a:ln w="12700">
          <a:solidFill>
            <a:srgbClr val="333399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uk-UA" sz="1300"/>
              <a:t>Порівняння кількості нещасних випадків із смертельним наслідком в енергетичній галузі Міненерговугілля України 
та в ДП "НАЕК "Енергоатом" за період 1999-2018  роки</a:t>
            </a:r>
          </a:p>
        </c:rich>
      </c:tx>
      <c:layout>
        <c:manualLayout>
          <c:xMode val="edge"/>
          <c:yMode val="edge"/>
          <c:x val="0.11331951927061749"/>
          <c:y val="4.9768999599957071E-2"/>
        </c:manualLayout>
      </c:layout>
      <c:overlay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CC99" mc:Ignorable="a14" a14:legacySpreadsheetColorIndex="47"/>
            </a:gs>
            <a:gs pos="100000">
              <a:srgbClr xmlns:mc="http://schemas.openxmlformats.org/markup-compatibility/2006" xmlns:a14="http://schemas.microsoft.com/office/drawing/2010/main" val="FFFF99" mc:Ignorable="a14" a14:legacySpreadsheetColorIndex="43"/>
            </a:gs>
          </a:gsLst>
          <a:lin ang="5400000" scaled="1"/>
        </a:gradFill>
        <a:ln w="12697">
          <a:solidFill>
            <a:srgbClr val="9933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view3D>
      <c:rotX val="14"/>
      <c:hPercent val="77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pattFill prst="pct30">
          <a:fgClr>
            <a:srgbClr xmlns:mc="http://schemas.openxmlformats.org/markup-compatibility/2006" xmlns:a14="http://schemas.microsoft.com/office/drawing/2010/main" val="FFFFFF" mc:Ignorable="a14" a14:legacySpreadsheetColorIndex="9"/>
          </a:fgClr>
          <a:bgClr>
            <a:srgbClr xmlns:mc="http://schemas.openxmlformats.org/markup-compatibility/2006" xmlns:a14="http://schemas.microsoft.com/office/drawing/2010/main" val="FFCC99" mc:Ignorable="a14" a14:legacySpreadsheetColorIndex="47"/>
          </a:bgClr>
        </a:pattFill>
        <a:ln w="12700">
          <a:solidFill>
            <a:srgbClr val="808080"/>
          </a:solidFill>
          <a:prstDash val="solid"/>
        </a:ln>
      </c:spPr>
    </c:sideWall>
    <c:backWall>
      <c:thickness val="0"/>
      <c:spPr>
        <a:pattFill prst="pct30">
          <a:fgClr>
            <a:srgbClr xmlns:mc="http://schemas.openxmlformats.org/markup-compatibility/2006" xmlns:a14="http://schemas.microsoft.com/office/drawing/2010/main" val="FFFFFF" mc:Ignorable="a14" a14:legacySpreadsheetColorIndex="9"/>
          </a:fgClr>
          <a:bgClr>
            <a:srgbClr xmlns:mc="http://schemas.openxmlformats.org/markup-compatibility/2006" xmlns:a14="http://schemas.microsoft.com/office/drawing/2010/main" val="FFCC99" mc:Ignorable="a14" a14:legacySpreadsheetColorIndex="47"/>
          </a:bgClr>
        </a:patt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29905165788871E-2"/>
          <c:y val="8.9849886329264623E-3"/>
          <c:w val="0.92523364485981308"/>
          <c:h val="0.94251151343070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Енергетична галузь Міненерговугілля України</c:v>
                </c:pt>
              </c:strCache>
            </c:strRef>
          </c:tx>
          <c:spPr>
            <a:pattFill prst="pct20">
              <a:fgClr>
                <a:srgbClr xmlns:mc="http://schemas.openxmlformats.org/markup-compatibility/2006" xmlns:a14="http://schemas.microsoft.com/office/drawing/2010/main" val="FFFFFF" mc:Ignorable="a14" a14:legacySpreadsheetColorIndex="65"/>
              </a:fgClr>
              <a:bgClr>
                <a:srgbClr xmlns:mc="http://schemas.openxmlformats.org/markup-compatibility/2006" xmlns:a14="http://schemas.microsoft.com/office/drawing/2010/main" val="993300" mc:Ignorable="a14" a14:legacySpreadsheetColorIndex="60"/>
              </a:bgClr>
            </a:patt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1501816616305691E-3"/>
                  <c:y val="-4.0567768248299819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FF0000" mc:Ignorable="a14" a14:legacySpreadsheetColorIndex="10"/>
                    </a:gs>
                  </a:gsLst>
                  <a:lin ang="5400000" scaled="1"/>
                </a:gradFill>
                <a:ln w="12697">
                  <a:solidFill>
                    <a:srgbClr val="9933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8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192525116782496E-2"/>
                  <c:y val="-4.3055840138942307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FF0000" mc:Ignorable="a14" a14:legacySpreadsheetColorIndex="10"/>
                    </a:gs>
                  </a:gsLst>
                  <a:lin ang="5400000" scaled="1"/>
                </a:gradFill>
                <a:ln w="12697">
                  <a:solidFill>
                    <a:srgbClr val="9933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8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2289660777583829E-3"/>
                  <c:y val="-6.3843436856638276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FF0000" mc:Ignorable="a14" a14:legacySpreadsheetColorIndex="10"/>
                    </a:gs>
                  </a:gsLst>
                  <a:lin ang="5400000" scaled="1"/>
                </a:gradFill>
                <a:ln w="12697">
                  <a:solidFill>
                    <a:srgbClr val="9933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8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686451623286486E-2"/>
                  <c:y val="-4.7234337343519794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FF0000" mc:Ignorable="a14" a14:legacySpreadsheetColorIndex="10"/>
                    </a:gs>
                  </a:gsLst>
                  <a:lin ang="5400000" scaled="1"/>
                </a:gradFill>
                <a:ln w="12697">
                  <a:solidFill>
                    <a:srgbClr val="9933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8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1105983366795177E-3"/>
                  <c:y val="-8.6604416083677273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FF0000" mc:Ignorable="a14" a14:legacySpreadsheetColorIndex="10"/>
                    </a:gs>
                  </a:gsLst>
                  <a:lin ang="5400000" scaled="1"/>
                </a:gradFill>
                <a:ln w="12697">
                  <a:solidFill>
                    <a:srgbClr val="9933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8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2350898651720279E-3"/>
                  <c:y val="-1.008339919405985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FF0000" mc:Ignorable="a14" a14:legacySpreadsheetColorIndex="10"/>
                    </a:gs>
                  </a:gsLst>
                  <a:lin ang="5400000" scaled="1"/>
                </a:gradFill>
                <a:ln w="12697">
                  <a:solidFill>
                    <a:srgbClr val="9933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8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0162107355384869E-2"/>
                  <c:y val="-1.0524422133107081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FF0000" mc:Ignorable="a14" a14:legacySpreadsheetColorIndex="10"/>
                    </a:gs>
                  </a:gsLst>
                  <a:lin ang="5400000" scaled="1"/>
                </a:gradFill>
                <a:ln w="12697">
                  <a:solidFill>
                    <a:srgbClr val="9933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8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576352202270071E-3"/>
                  <c:y val="-5.8917298441784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FF0000" mc:Ignorable="a14" a14:legacySpreadsheetColorIndex="10"/>
                    </a:gs>
                  </a:gsLst>
                  <a:lin ang="5400000" scaled="1"/>
                </a:gradFill>
                <a:ln w="12697">
                  <a:solidFill>
                    <a:srgbClr val="9933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8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3.0651125175525022E-3"/>
                  <c:y val="-1.238279229966154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FF0000" mc:Ignorable="a14" a14:legacySpreadsheetColorIndex="10"/>
                    </a:gs>
                  </a:gsLst>
                  <a:lin ang="5400000" scaled="1"/>
                </a:gradFill>
                <a:ln w="12697">
                  <a:solidFill>
                    <a:srgbClr val="9933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8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9.7365805768912777E-3"/>
                  <c:y val="-1.9179741240523317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FF0000" mc:Ignorable="a14" a14:legacySpreadsheetColorIndex="10"/>
                    </a:gs>
                  </a:gsLst>
                  <a:lin ang="5400000" scaled="1"/>
                </a:gradFill>
                <a:ln w="12697">
                  <a:solidFill>
                    <a:srgbClr val="9933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8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8.7183098024857259E-3"/>
                  <c:y val="-8.1164807930607184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FF0000" mc:Ignorable="a14" a14:legacySpreadsheetColorIndex="10"/>
                    </a:gs>
                  </a:gsLst>
                  <a:lin ang="5400000" scaled="1"/>
                </a:gradFill>
                <a:ln w="12697">
                  <a:solidFill>
                    <a:srgbClr val="9933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8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3345660576233098E-2"/>
                  <c:y val="-1.34590859771474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FF0000" mc:Ignorable="a14" a14:legacySpreadsheetColorIndex="10"/>
                    </a:gs>
                  </a:gsLst>
                  <a:lin ang="5400000" scaled="1"/>
                </a:gradFill>
                <a:ln w="12697">
                  <a:solidFill>
                    <a:srgbClr val="9933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8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1.0283456519902309E-2"/>
                  <c:y val="1.0447706583145509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FF0000" mc:Ignorable="a14" a14:legacySpreadsheetColorIndex="10"/>
                    </a:gs>
                  </a:gsLst>
                  <a:lin ang="5400000" scaled="1"/>
                </a:gradFill>
                <a:ln w="12697">
                  <a:solidFill>
                    <a:srgbClr val="9933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8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2.1242541412011796E-3"/>
                  <c:y val="-1.2657333957790591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FF0000" mc:Ignorable="a14" a14:legacySpreadsheetColorIndex="10"/>
                    </a:gs>
                  </a:gsLst>
                  <a:lin ang="5400000" scaled="1"/>
                </a:gradFill>
                <a:ln w="12697">
                  <a:solidFill>
                    <a:srgbClr val="9933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8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6.5908368505546416E-3"/>
                  <c:y val="1.2086662958950556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FF0000" mc:Ignorable="a14" a14:legacySpreadsheetColorIndex="10"/>
                    </a:gs>
                  </a:gsLst>
                  <a:lin ang="5400000" scaled="1"/>
                </a:gradFill>
                <a:ln w="12697">
                  <a:solidFill>
                    <a:srgbClr val="9933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8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2.5560576006178619E-3"/>
                  <c:y val="-1.1417688727570765E-2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FF0000" mc:Ignorable="a14" a14:legacySpreadsheetColorIndex="10"/>
                    </a:gs>
                  </a:gsLst>
                  <a:lin ang="5400000" scaled="1"/>
                </a:gradFill>
                <a:ln w="12697">
                  <a:solidFill>
                    <a:srgbClr val="9933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8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5.3369491307199276E-3"/>
                  <c:y val="-8.5403067646283998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FF0000" mc:Ignorable="a14" a14:legacySpreadsheetColorIndex="10"/>
                    </a:gs>
                  </a:gsLst>
                  <a:lin ang="5400000" scaled="1"/>
                </a:gradFill>
                <a:ln w="12697">
                  <a:solidFill>
                    <a:srgbClr val="9933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8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7900651406821465E-3"/>
                  <c:y val="-3.8394364273239079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FF0000" mc:Ignorable="a14" a14:legacySpreadsheetColorIndex="10"/>
                    </a:gs>
                  </a:gsLst>
                  <a:lin ang="5400000" scaled="1"/>
                </a:gradFill>
                <a:ln w="12697">
                  <a:solidFill>
                    <a:srgbClr val="9933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8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6.3462072350818181E-3"/>
                  <c:y val="-5.2423918664443172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FF0000" mc:Ignorable="a14" a14:legacySpreadsheetColorIndex="10"/>
                    </a:gs>
                  </a:gsLst>
                  <a:lin ang="5400000" scaled="1"/>
                </a:gradFill>
                <a:ln w="12697">
                  <a:solidFill>
                    <a:srgbClr val="9933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8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6.8856799134139916E-3"/>
                  <c:y val="-5.2423918664443172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9"/>
                    </a:gs>
                    <a:gs pos="100000">
                      <a:srgbClr xmlns:mc="http://schemas.openxmlformats.org/markup-compatibility/2006" xmlns:a14="http://schemas.microsoft.com/office/drawing/2010/main" val="FF0000" mc:Ignorable="a14" a14:legacySpreadsheetColorIndex="10"/>
                    </a:gs>
                  </a:gsLst>
                  <a:lin ang="5400000" scaled="1"/>
                </a:gradFill>
                <a:ln w="12697">
                  <a:solidFill>
                    <a:srgbClr val="9933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8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8AB-4B15-8462-2606704940B6}"/>
                </c:ext>
                <c:ext xmlns:c15="http://schemas.microsoft.com/office/drawing/2012/chart" uri="{CE6537A1-D6FC-4f65-9D91-7224C49458BB}"/>
              </c:extLst>
            </c:dLbl>
            <c:spPr>
              <a:gradFill rotWithShape="0">
                <a:gsLst>
                  <a:gs pos="0">
                    <a:srgbClr xmlns:mc="http://schemas.openxmlformats.org/markup-compatibility/2006" xmlns:a14="http://schemas.microsoft.com/office/drawing/2010/main" val="FFFFFF" mc:Ignorable="a14" a14:legacySpreadsheetColorIndex="9"/>
                  </a:gs>
                  <a:gs pos="100000">
                    <a:srgbClr xmlns:mc="http://schemas.openxmlformats.org/markup-compatibility/2006" xmlns:a14="http://schemas.microsoft.com/office/drawing/2010/main" val="FF0000" mc:Ignorable="a14" a14:legacySpreadsheetColorIndex="10"/>
                  </a:gs>
                </a:gsLst>
                <a:lin ang="5400000" scaled="1"/>
              </a:gradFill>
              <a:ln w="12697">
                <a:solidFill>
                  <a:srgbClr val="9933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75" b="1" i="0" u="none" strike="noStrike" baseline="0">
                    <a:solidFill>
                      <a:srgbClr val="8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Sheet1!$B$1:$U$1</c:f>
              <c:numCache>
                <c:formatCode>General</c:formatCode>
                <c:ptCount val="20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</c:numCache>
            </c:numRef>
          </c:cat>
          <c:val>
            <c:numRef>
              <c:f>Sheet1!$B$2:$U$2</c:f>
              <c:numCache>
                <c:formatCode>General</c:formatCode>
                <c:ptCount val="20"/>
                <c:pt idx="0">
                  <c:v>15</c:v>
                </c:pt>
                <c:pt idx="1">
                  <c:v>35</c:v>
                </c:pt>
                <c:pt idx="2">
                  <c:v>30</c:v>
                </c:pt>
                <c:pt idx="3">
                  <c:v>39</c:v>
                </c:pt>
                <c:pt idx="4">
                  <c:v>35</c:v>
                </c:pt>
                <c:pt idx="5">
                  <c:v>31</c:v>
                </c:pt>
                <c:pt idx="6">
                  <c:v>19</c:v>
                </c:pt>
                <c:pt idx="7">
                  <c:v>32</c:v>
                </c:pt>
                <c:pt idx="8">
                  <c:v>20</c:v>
                </c:pt>
                <c:pt idx="9">
                  <c:v>21</c:v>
                </c:pt>
                <c:pt idx="10">
                  <c:v>27</c:v>
                </c:pt>
                <c:pt idx="11">
                  <c:v>18</c:v>
                </c:pt>
                <c:pt idx="12">
                  <c:v>11</c:v>
                </c:pt>
                <c:pt idx="13">
                  <c:v>19</c:v>
                </c:pt>
                <c:pt idx="14">
                  <c:v>13</c:v>
                </c:pt>
                <c:pt idx="15">
                  <c:v>20</c:v>
                </c:pt>
                <c:pt idx="16">
                  <c:v>14</c:v>
                </c:pt>
                <c:pt idx="17">
                  <c:v>9</c:v>
                </c:pt>
                <c:pt idx="18">
                  <c:v>9</c:v>
                </c:pt>
                <c:pt idx="19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F8AB-4B15-8462-2606704940B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ДП "НАЕК "Енергоатом"</c:v>
                </c:pt>
              </c:strCache>
            </c:strRef>
          </c:tx>
          <c:spPr>
            <a:solidFill>
              <a:srgbClr val="008000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822715952023626E-2"/>
                  <c:y val="2.5771058357482266E-4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697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33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3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318243816865745E-2"/>
                  <c:y val="-1.7464069314755729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697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33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4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786335343748868E-2"/>
                  <c:y val="-5.146893812994565E-5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697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33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5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254587811168469E-2"/>
                  <c:y val="-1.9097171403759268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697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33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6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777391073433106E-2"/>
                  <c:y val="-3.2953536477085344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697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33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7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8278660491914674E-2"/>
                  <c:y val="-9.9925357843269375E-4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697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33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8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2686298729776816E-2"/>
                  <c:y val="-3.7506464108343334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697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33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2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2154551197196415E-2"/>
                  <c:y val="-1.4545463415584928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697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33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1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6295551201219855E-2"/>
                  <c:y val="-3.0034930577915678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697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33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0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6834862939015607E-2"/>
                  <c:y val="-8.5338426562862001E-4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697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33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7860697918636512E-2"/>
                  <c:y val="-8.5338426562862001E-4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697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33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4213624421117007E-2"/>
                  <c:y val="-2.4023309818614683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697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33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8.4237886206993667E-3"/>
                  <c:y val="-4.5524397740245295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697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33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1.4122532077460531E-2"/>
                  <c:y val="-3.0034930577915678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697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33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1.320291785192651E-2"/>
                  <c:y val="6.9556245060445516E-4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697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33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1.4130096282675959E-2"/>
                  <c:y val="-8.5338426562862001E-4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697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33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1.5155770321760367E-2"/>
                  <c:y val="-8.533842656285065E-4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697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33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1.35526416377309E-2"/>
                  <c:y val="5.4969313780015418E-4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697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33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1.1660624690692257E-2"/>
                  <c:y val="6.9556245060445516E-4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697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33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F8AB-4B15-8462-2606704940B6}"/>
                </c:ex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2199936428488085E-2"/>
                  <c:y val="8.4155372771712081E-4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CC00" mc:Ignorable="a14" a14:legacySpreadsheetColorIndex="50"/>
                    </a:gs>
                  </a:gsLst>
                  <a:lin ang="5400000" scaled="1"/>
                </a:gradFill>
                <a:ln w="12697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33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F8AB-4B15-8462-2606704940B6}"/>
                </c:ext>
                <c:ext xmlns:c15="http://schemas.microsoft.com/office/drawing/2012/chart" uri="{CE6537A1-D6FC-4f65-9D91-7224C49458BB}"/>
              </c:extLst>
            </c:dLbl>
            <c:spPr>
              <a:gradFill rotWithShape="0">
                <a:gsLst>
                  <a:gs pos="0">
                    <a:srgbClr xmlns:mc="http://schemas.openxmlformats.org/markup-compatibility/2006" xmlns:a14="http://schemas.microsoft.com/office/drawing/2010/main" val="FFFFFF" mc:Ignorable="a14" a14:legacySpreadsheetColorIndex="65"/>
                  </a:gs>
                  <a:gs pos="100000">
                    <a:srgbClr xmlns:mc="http://schemas.openxmlformats.org/markup-compatibility/2006" xmlns:a14="http://schemas.microsoft.com/office/drawing/2010/main" val="99CC00" mc:Ignorable="a14" a14:legacySpreadsheetColorIndex="50"/>
                  </a:gs>
                </a:gsLst>
                <a:lin ang="5400000" scaled="1"/>
              </a:gradFill>
              <a:ln w="12697">
                <a:solidFill>
                  <a:srgbClr val="008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75" b="1" i="0" u="none" strike="noStrike" baseline="0">
                    <a:solidFill>
                      <a:srgbClr val="0033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Sheet1!$B$1:$U$1</c:f>
              <c:numCache>
                <c:formatCode>General</c:formatCode>
                <c:ptCount val="20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</c:numCache>
            </c:numRef>
          </c:cat>
          <c:val>
            <c:numRef>
              <c:f>Sheet1!$B$3:$U$3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9-F8AB-4B15-8462-2606704940B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-999663520"/>
        <c:axId val="-999660256"/>
        <c:axId val="0"/>
      </c:bar3DChart>
      <c:catAx>
        <c:axId val="-999663520"/>
        <c:scaling>
          <c:orientation val="minMax"/>
        </c:scaling>
        <c:delete val="0"/>
        <c:axPos val="b"/>
        <c:majorGridlines>
          <c:spPr>
            <a:ln w="12697">
              <a:solidFill>
                <a:srgbClr val="FFCC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uk-UA" sz="1200"/>
                  <a:t>Роки</a:t>
                </a:r>
              </a:p>
            </c:rich>
          </c:tx>
          <c:layout>
            <c:manualLayout>
              <c:xMode val="edge"/>
              <c:yMode val="edge"/>
              <c:x val="0.87617894978252908"/>
              <c:y val="0.81608904370225099"/>
            </c:manualLayout>
          </c:layout>
          <c:overlay val="0"/>
          <c:spPr>
            <a:noFill/>
            <a:ln w="25394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uk-UA"/>
          </a:p>
        </c:txPr>
        <c:crossAx val="-999660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999660256"/>
        <c:scaling>
          <c:orientation val="minMax"/>
          <c:max val="45"/>
        </c:scaling>
        <c:delete val="0"/>
        <c:axPos val="l"/>
        <c:majorGridlines>
          <c:spPr>
            <a:ln w="12697">
              <a:solidFill>
                <a:srgbClr val="FFCC99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 algn="r"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uk-UA" sz="1100"/>
                  <a:t>Кількість смертельних нещасних випадків</a:t>
                </a:r>
              </a:p>
            </c:rich>
          </c:tx>
          <c:layout>
            <c:manualLayout>
              <c:xMode val="edge"/>
              <c:yMode val="edge"/>
              <c:x val="1.5576323987538941E-2"/>
              <c:y val="0.15593220338983052"/>
            </c:manualLayout>
          </c:layout>
          <c:overlay val="0"/>
          <c:spPr>
            <a:noFill/>
            <a:ln w="2539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-999663520"/>
        <c:crosses val="autoZero"/>
        <c:crossBetween val="between"/>
        <c:maj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149727004614969"/>
          <c:y val="0.138545112158378"/>
          <c:w val="0.2819314641744548"/>
          <c:h val="0.27288135593220336"/>
        </c:manualLayout>
      </c:layout>
      <c:overlay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FF99" mc:Ignorable="a14" a14:legacySpreadsheetColorIndex="43"/>
            </a:gs>
            <a:gs pos="100000">
              <a:srgbClr xmlns:mc="http://schemas.openxmlformats.org/markup-compatibility/2006" xmlns:a14="http://schemas.microsoft.com/office/drawing/2010/main" val="FFCC99" mc:Ignorable="a14" a14:legacySpreadsheetColorIndex="47"/>
            </a:gs>
          </a:gsLst>
          <a:lin ang="0" scaled="1"/>
        </a:gradFill>
        <a:ln w="12697">
          <a:solidFill>
            <a:srgbClr val="9933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uk-UA" sz="1200"/>
              <a:t>Порівняння кількості групових нещасних випадків 
в енергетичній галузі Міненерговугілля України 
та в ДП "НАЕК "Енергоатом" за період 1999-2018 роки</a:t>
            </a:r>
          </a:p>
        </c:rich>
      </c:tx>
      <c:layout>
        <c:manualLayout>
          <c:xMode val="edge"/>
          <c:yMode val="edge"/>
          <c:x val="0.19030577163770021"/>
          <c:y val="2.7091633466135457E-2"/>
        </c:manualLayout>
      </c:layout>
      <c:overlay val="0"/>
      <c:spPr>
        <a:gradFill rotWithShape="0">
          <a:gsLst>
            <a:gs pos="0">
              <a:srgbClr xmlns:mc="http://schemas.openxmlformats.org/markup-compatibility/2006" xmlns:a14="http://schemas.microsoft.com/office/drawing/2010/main" val="CCFFCC" mc:Ignorable="a14" a14:legacySpreadsheetColorIndex="42"/>
            </a:gs>
            <a:gs pos="100000">
              <a:srgbClr xmlns:mc="http://schemas.openxmlformats.org/markup-compatibility/2006" xmlns:a14="http://schemas.microsoft.com/office/drawing/2010/main" val="FFFFFF" mc:Ignorable="a14" a14:legacySpreadsheetColorIndex="9"/>
            </a:gs>
          </a:gsLst>
          <a:lin ang="5400000" scaled="1"/>
        </a:gradFill>
        <a:ln w="12694">
          <a:solidFill>
            <a:srgbClr val="00FF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view3D>
      <c:rotX val="14"/>
      <c:hPercent val="84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pattFill prst="pct40">
          <a:fgClr>
            <a:srgbClr xmlns:mc="http://schemas.openxmlformats.org/markup-compatibility/2006" xmlns:a14="http://schemas.microsoft.com/office/drawing/2010/main" val="CCFFCC" mc:Ignorable="a14" a14:legacySpreadsheetColorIndex="42"/>
          </a:fgClr>
          <a:bgClr>
            <a:srgbClr xmlns:mc="http://schemas.openxmlformats.org/markup-compatibility/2006" xmlns:a14="http://schemas.microsoft.com/office/drawing/2010/main" val="FFFFFF" mc:Ignorable="a14" a14:legacySpreadsheetColorIndex="9"/>
          </a:bgClr>
        </a:pattFill>
        <a:ln w="12700">
          <a:solidFill>
            <a:srgbClr val="808080"/>
          </a:solidFill>
          <a:prstDash val="solid"/>
        </a:ln>
      </c:spPr>
    </c:sideWall>
    <c:backWall>
      <c:thickness val="0"/>
      <c:spPr>
        <a:pattFill prst="pct40">
          <a:fgClr>
            <a:srgbClr xmlns:mc="http://schemas.openxmlformats.org/markup-compatibility/2006" xmlns:a14="http://schemas.microsoft.com/office/drawing/2010/main" val="CCFFCC" mc:Ignorable="a14" a14:legacySpreadsheetColorIndex="42"/>
          </a:fgClr>
          <a:bgClr>
            <a:srgbClr xmlns:mc="http://schemas.openxmlformats.org/markup-compatibility/2006" xmlns:a14="http://schemas.microsoft.com/office/drawing/2010/main" val="FFFFFF" mc:Ignorable="a14" a14:legacySpreadsheetColorIndex="9"/>
          </a:bgClr>
        </a:patt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566615620214395"/>
          <c:y val="0.14745762711864407"/>
          <c:w val="0.82082695252679938"/>
          <c:h val="0.778999278476644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Енергетична галузь Міненерговугілля України</c:v>
                </c:pt>
              </c:strCache>
            </c:strRef>
          </c:tx>
          <c:spPr>
            <a:solidFill>
              <a:srgbClr val="800080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6291924777008327E-3"/>
                  <c:y val="3.1749537283935125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3366" mc:Ignorable="a14" a14:legacySpreadsheetColorIndex="61"/>
                    </a:gs>
                  </a:gsLst>
                  <a:lin ang="5400000" scaled="1"/>
                </a:gradFill>
                <a:ln w="12694">
                  <a:solidFill>
                    <a:srgbClr val="80008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8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5499928706093E-3"/>
                  <c:y val="-4.0688897951501081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3366" mc:Ignorable="a14" a14:legacySpreadsheetColorIndex="61"/>
                    </a:gs>
                  </a:gsLst>
                  <a:lin ang="5400000" scaled="1"/>
                </a:gradFill>
                <a:ln w="12694">
                  <a:solidFill>
                    <a:srgbClr val="80008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8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9711338899538971E-3"/>
                  <c:y val="-3.1760830692976129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3366" mc:Ignorable="a14" a14:legacySpreadsheetColorIndex="61"/>
                    </a:gs>
                  </a:gsLst>
                  <a:lin ang="5400000" scaled="1"/>
                </a:gradFill>
                <a:ln w="12694">
                  <a:solidFill>
                    <a:srgbClr val="80008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8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0496680872637034E-3"/>
                  <c:y val="4.5999309847224688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3366" mc:Ignorable="a14" a14:legacySpreadsheetColorIndex="61"/>
                    </a:gs>
                  </a:gsLst>
                  <a:lin ang="5400000" scaled="1"/>
                </a:gradFill>
                <a:ln w="12694">
                  <a:solidFill>
                    <a:srgbClr val="80008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8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247168047656014E-3"/>
                  <c:y val="-1.4917338519936003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3366" mc:Ignorable="a14" a14:legacySpreadsheetColorIndex="61"/>
                    </a:gs>
                  </a:gsLst>
                  <a:lin ang="5400000" scaled="1"/>
                </a:gradFill>
                <a:ln w="12694">
                  <a:solidFill>
                    <a:srgbClr val="80008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8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0480996213501479E-3"/>
                  <c:y val="-2.3845405778460376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3366" mc:Ignorable="a14" a14:legacySpreadsheetColorIndex="61"/>
                    </a:gs>
                  </a:gsLst>
                  <a:lin ang="5400000" scaled="1"/>
                </a:gradFill>
                <a:ln w="12694">
                  <a:solidFill>
                    <a:srgbClr val="80008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8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2616803181292479E-2"/>
                  <c:y val="3.2788530915707248E-4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3366" mc:Ignorable="a14" a14:legacySpreadsheetColorIndex="61"/>
                    </a:gs>
                  </a:gsLst>
                  <a:lin ang="5400000" scaled="1"/>
                </a:gradFill>
                <a:ln w="12694">
                  <a:solidFill>
                    <a:srgbClr val="80008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8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7.7691344919913179E-3"/>
                  <c:y val="1.7060576591272705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3366" mc:Ignorable="a14" a14:legacySpreadsheetColorIndex="61"/>
                    </a:gs>
                  </a:gsLst>
                  <a:lin ang="5400000" scaled="1"/>
                </a:gradFill>
                <a:ln w="12694">
                  <a:solidFill>
                    <a:srgbClr val="80008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8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7848825234873071E-3"/>
                  <c:y val="1.5139442231075697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3366" mc:Ignorable="a14" a14:legacySpreadsheetColorIndex="61"/>
                    </a:gs>
                  </a:gsLst>
                  <a:lin ang="5400000" scaled="1"/>
                </a:gradFill>
                <a:ln w="12694">
                  <a:solidFill>
                    <a:srgbClr val="80008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8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4717913781903949E-2"/>
                  <c:y val="3.1075697211154795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3366" mc:Ignorable="a14" a14:legacySpreadsheetColorIndex="61"/>
                    </a:gs>
                  </a:gsLst>
                  <a:lin ang="5400000" scaled="1"/>
                </a:gradFill>
                <a:ln w="12694">
                  <a:solidFill>
                    <a:srgbClr val="80008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8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1971514124114768E-2"/>
                  <c:y val="-3.5836496533552006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3366" mc:Ignorable="a14" a14:legacySpreadsheetColorIndex="61"/>
                    </a:gs>
                  </a:gsLst>
                  <a:lin ang="5400000" scaled="1"/>
                </a:gradFill>
                <a:ln w="12694">
                  <a:solidFill>
                    <a:srgbClr val="80008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8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7.2765728227633516E-3"/>
                  <c:y val="-5.0807792452238292E-4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3366" mc:Ignorable="a14" a14:legacySpreadsheetColorIndex="61"/>
                    </a:gs>
                  </a:gsLst>
                  <a:lin ang="5400000" scaled="1"/>
                </a:gradFill>
                <a:ln w="12694">
                  <a:solidFill>
                    <a:srgbClr val="80008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8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7.6564901218332884E-3"/>
                  <c:y val="3.5718543150232542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3366" mc:Ignorable="a14" a14:legacySpreadsheetColorIndex="61"/>
                    </a:gs>
                  </a:gsLst>
                  <a:lin ang="5400000" scaled="1"/>
                </a:gradFill>
                <a:ln w="12694">
                  <a:solidFill>
                    <a:srgbClr val="80008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8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6.0243349862957275E-3"/>
                  <c:y val="-5.0807792452238292E-4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3366" mc:Ignorable="a14" a14:legacySpreadsheetColorIndex="61"/>
                    </a:gs>
                  </a:gsLst>
                  <a:lin ang="5400000" scaled="1"/>
                </a:gradFill>
                <a:ln w="12694">
                  <a:solidFill>
                    <a:srgbClr val="80008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8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7.4548075856715095E-3"/>
                  <c:y val="1.926153653104119E-4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3366" mc:Ignorable="a14" a14:legacySpreadsheetColorIndex="61"/>
                    </a:gs>
                  </a:gsLst>
                  <a:lin ang="5400000" scaled="1"/>
                </a:gradFill>
                <a:ln w="12694">
                  <a:solidFill>
                    <a:srgbClr val="80008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8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3.8105800155262284E-3"/>
                  <c:y val="1.2078928380963748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3366" mc:Ignorable="a14" a14:legacySpreadsheetColorIndex="61"/>
                    </a:gs>
                  </a:gsLst>
                  <a:lin ang="5400000" scaled="1"/>
                </a:gradFill>
                <a:ln w="12694">
                  <a:solidFill>
                    <a:srgbClr val="80008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8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5.6325353696985063E-3"/>
                  <c:y val="-3.5836496533552006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3366" mc:Ignorable="a14" a14:legacySpreadsheetColorIndex="61"/>
                    </a:gs>
                  </a:gsLst>
                  <a:lin ang="5400000" scaled="1"/>
                </a:gradFill>
                <a:ln w="12694">
                  <a:solidFill>
                    <a:srgbClr val="80008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8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5.5319317479681235E-3"/>
                  <c:y val="4.9653355083602595E-4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3366" mc:Ignorable="a14" a14:legacySpreadsheetColorIndex="61"/>
                    </a:gs>
                  </a:gsLst>
                  <a:lin ang="5400000" scaled="1"/>
                </a:gradFill>
                <a:ln w="12694">
                  <a:solidFill>
                    <a:srgbClr val="80008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8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1.0416514837053671E-2"/>
                  <c:y val="6.1702167707123091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3366" mc:Ignorable="a14" a14:legacySpreadsheetColorIndex="61"/>
                    </a:gs>
                  </a:gsLst>
                  <a:lin ang="5400000" scaled="1"/>
                </a:gradFill>
                <a:ln w="12694">
                  <a:solidFill>
                    <a:srgbClr val="80008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8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2.7481423976930984E-3"/>
                  <c:y val="-2.7815666467986321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FFFFFF" mc:Ignorable="a14" a14:legacySpreadsheetColorIndex="65"/>
                    </a:gs>
                    <a:gs pos="100000">
                      <a:srgbClr xmlns:mc="http://schemas.openxmlformats.org/markup-compatibility/2006" xmlns:a14="http://schemas.microsoft.com/office/drawing/2010/main" val="993366" mc:Ignorable="a14" a14:legacySpreadsheetColorIndex="61"/>
                    </a:gs>
                  </a:gsLst>
                  <a:lin ang="5400000" scaled="1"/>
                </a:gradFill>
                <a:ln w="12694">
                  <a:solidFill>
                    <a:srgbClr val="80008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8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97A-42EF-86F7-6BB0D2260E13}"/>
                </c:ext>
                <c:ext xmlns:c15="http://schemas.microsoft.com/office/drawing/2012/chart" uri="{CE6537A1-D6FC-4f65-9D91-7224C49458BB}"/>
              </c:extLst>
            </c:dLbl>
            <c:spPr>
              <a:gradFill rotWithShape="0">
                <a:gsLst>
                  <a:gs pos="0">
                    <a:srgbClr xmlns:mc="http://schemas.openxmlformats.org/markup-compatibility/2006" xmlns:a14="http://schemas.microsoft.com/office/drawing/2010/main" val="FFFFFF" mc:Ignorable="a14" a14:legacySpreadsheetColorIndex="65"/>
                  </a:gs>
                  <a:gs pos="100000">
                    <a:srgbClr xmlns:mc="http://schemas.openxmlformats.org/markup-compatibility/2006" xmlns:a14="http://schemas.microsoft.com/office/drawing/2010/main" val="993366" mc:Ignorable="a14" a14:legacySpreadsheetColorIndex="61"/>
                  </a:gs>
                </a:gsLst>
                <a:lin ang="5400000" scaled="1"/>
              </a:gradFill>
              <a:ln w="12694">
                <a:solidFill>
                  <a:srgbClr val="80008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1" i="0" u="none" strike="noStrike" baseline="0">
                    <a:solidFill>
                      <a:srgbClr val="8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Sheet1!$B$1:$U$1</c:f>
              <c:numCache>
                <c:formatCode>General</c:formatCode>
                <c:ptCount val="20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</c:numCache>
            </c:numRef>
          </c:cat>
          <c:val>
            <c:numRef>
              <c:f>Sheet1!$B$2:$U$2</c:f>
              <c:numCache>
                <c:formatCode>General</c:formatCode>
                <c:ptCount val="20"/>
                <c:pt idx="0">
                  <c:v>1</c:v>
                </c:pt>
                <c:pt idx="1">
                  <c:v>9</c:v>
                </c:pt>
                <c:pt idx="2">
                  <c:v>8</c:v>
                </c:pt>
                <c:pt idx="3">
                  <c:v>10</c:v>
                </c:pt>
                <c:pt idx="4">
                  <c:v>6</c:v>
                </c:pt>
                <c:pt idx="5">
                  <c:v>7</c:v>
                </c:pt>
                <c:pt idx="6">
                  <c:v>13</c:v>
                </c:pt>
                <c:pt idx="7">
                  <c:v>8</c:v>
                </c:pt>
                <c:pt idx="8">
                  <c:v>10</c:v>
                </c:pt>
                <c:pt idx="9">
                  <c:v>10</c:v>
                </c:pt>
                <c:pt idx="10">
                  <c:v>5</c:v>
                </c:pt>
                <c:pt idx="11">
                  <c:v>3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7</c:v>
                </c:pt>
                <c:pt idx="16">
                  <c:v>5</c:v>
                </c:pt>
                <c:pt idx="17">
                  <c:v>4</c:v>
                </c:pt>
                <c:pt idx="18">
                  <c:v>3</c:v>
                </c:pt>
                <c:pt idx="19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A97A-42EF-86F7-6BB0D2260E1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ДП "НАЕК "Енергоатом"</c:v>
                </c:pt>
              </c:strCache>
            </c:strRef>
          </c:tx>
          <c:spPr>
            <a:solidFill>
              <a:srgbClr val="008000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50715315515138E-2"/>
                  <c:y val="3.2499921573548327E-4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CCFFCC" mc:Ignorable="a14" a14:legacySpreadsheetColorIndex="42"/>
                    </a:gs>
                    <a:gs pos="100000">
                      <a:srgbClr xmlns:mc="http://schemas.openxmlformats.org/markup-compatibility/2006" xmlns:a14="http://schemas.microsoft.com/office/drawing/2010/main" val="000000" mc:Ignorable="a14" a14:legacySpreadsheetColorIndex="42">
                        <a:gamma/>
                        <a:shade val="46275"/>
                        <a:invGamma/>
                      </a:srgbClr>
                    </a:gs>
                  </a:gsLst>
                  <a:lin ang="5400000" scaled="1"/>
                </a:gradFill>
                <a:ln w="12694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3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506947194980905E-3"/>
                  <c:y val="1.8279009944474072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CCFFCC" mc:Ignorable="a14" a14:legacySpreadsheetColorIndex="42"/>
                    </a:gs>
                    <a:gs pos="100000">
                      <a:srgbClr xmlns:mc="http://schemas.openxmlformats.org/markup-compatibility/2006" xmlns:a14="http://schemas.microsoft.com/office/drawing/2010/main" val="000000" mc:Ignorable="a14" a14:legacySpreadsheetColorIndex="42">
                        <a:gamma/>
                        <a:shade val="46275"/>
                        <a:invGamma/>
                      </a:srgbClr>
                    </a:gs>
                  </a:gsLst>
                  <a:lin ang="5400000" scaled="1"/>
                </a:gradFill>
                <a:ln w="12694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4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16540185997877E-2"/>
                  <c:y val="2.237349813345045E-4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CCFFCC" mc:Ignorable="a14" a14:legacySpreadsheetColorIndex="42"/>
                    </a:gs>
                    <a:gs pos="100000">
                      <a:srgbClr xmlns:mc="http://schemas.openxmlformats.org/markup-compatibility/2006" xmlns:a14="http://schemas.microsoft.com/office/drawing/2010/main" val="000000" mc:Ignorable="a14" a14:legacySpreadsheetColorIndex="42">
                        <a:gamma/>
                        <a:shade val="46275"/>
                        <a:invGamma/>
                      </a:srgbClr>
                    </a:gs>
                  </a:gsLst>
                  <a:lin ang="5400000" scaled="1"/>
                </a:gradFill>
                <a:ln w="12694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5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596191321155242E-2"/>
                  <c:y val="2.8219719547008817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CCFFCC" mc:Ignorable="a14" a14:legacySpreadsheetColorIndex="42"/>
                    </a:gs>
                    <a:gs pos="100000">
                      <a:srgbClr xmlns:mc="http://schemas.openxmlformats.org/markup-compatibility/2006" xmlns:a14="http://schemas.microsoft.com/office/drawing/2010/main" val="000000" mc:Ignorable="a14" a14:legacySpreadsheetColorIndex="42">
                        <a:gamma/>
                        <a:shade val="46275"/>
                        <a:invGamma/>
                      </a:srgbClr>
                    </a:gs>
                  </a:gsLst>
                  <a:lin ang="5400000" scaled="1"/>
                </a:gradFill>
                <a:ln w="12694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6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1406074240719946E-2"/>
                  <c:y val="1.9186247137433345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CCFFCC" mc:Ignorable="a14" a14:legacySpreadsheetColorIndex="42"/>
                    </a:gs>
                    <a:gs pos="100000">
                      <a:srgbClr xmlns:mc="http://schemas.openxmlformats.org/markup-compatibility/2006" xmlns:a14="http://schemas.microsoft.com/office/drawing/2010/main" val="000000" mc:Ignorable="a14" a14:legacySpreadsheetColorIndex="42">
                        <a:gamma/>
                        <a:shade val="46275"/>
                        <a:invGamma/>
                      </a:srgbClr>
                    </a:gs>
                  </a:gsLst>
                  <a:lin ang="5400000" scaled="1"/>
                </a:gradFill>
                <a:ln w="12694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7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0254440025982667E-2"/>
                  <c:y val="2.0198889481443131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CCFFCC" mc:Ignorable="a14" a14:legacySpreadsheetColorIndex="42"/>
                    </a:gs>
                    <a:gs pos="100000">
                      <a:srgbClr xmlns:mc="http://schemas.openxmlformats.org/markup-compatibility/2006" xmlns:a14="http://schemas.microsoft.com/office/drawing/2010/main" val="000000" mc:Ignorable="a14" a14:legacySpreadsheetColorIndex="42">
                        <a:gamma/>
                        <a:shade val="46275"/>
                        <a:invGamma/>
                      </a:srgbClr>
                    </a:gs>
                  </a:gsLst>
                  <a:lin ang="5400000" scaled="1"/>
                </a:gradFill>
                <a:ln w="12694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8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6754226144267176E-3"/>
                  <c:y val="7.6028484487247862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CCFFCC" mc:Ignorable="a14" a14:legacySpreadsheetColorIndex="42"/>
                    </a:gs>
                    <a:gs pos="100000">
                      <a:srgbClr xmlns:mc="http://schemas.openxmlformats.org/markup-compatibility/2006" xmlns:a14="http://schemas.microsoft.com/office/drawing/2010/main" val="000000" mc:Ignorable="a14" a14:legacySpreadsheetColorIndex="42">
                        <a:gamma/>
                        <a:shade val="46275"/>
                        <a:invGamma/>
                      </a:srgbClr>
                    </a:gs>
                  </a:gsLst>
                  <a:lin ang="5400000" scaled="1"/>
                </a:gradFill>
                <a:ln w="12694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2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4973779685989956E-3"/>
                  <c:y val="2.3427549643932223E-4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CCFFCC" mc:Ignorable="a14" a14:legacySpreadsheetColorIndex="42"/>
                    </a:gs>
                    <a:gs pos="100000">
                      <a:srgbClr xmlns:mc="http://schemas.openxmlformats.org/markup-compatibility/2006" xmlns:a14="http://schemas.microsoft.com/office/drawing/2010/main" val="000000" mc:Ignorable="a14" a14:legacySpreadsheetColorIndex="42">
                        <a:gamma/>
                        <a:shade val="46275"/>
                        <a:invGamma/>
                      </a:srgbClr>
                    </a:gs>
                  </a:gsLst>
                  <a:lin ang="5400000" scaled="1"/>
                </a:gradFill>
                <a:ln w="12694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1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3406264357800271E-2"/>
                  <c:y val="5.9079587163158387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CCFFCC" mc:Ignorable="a14" a14:legacySpreadsheetColorIndex="42"/>
                    </a:gs>
                    <a:gs pos="100000">
                      <a:srgbClr xmlns:mc="http://schemas.openxmlformats.org/markup-compatibility/2006" xmlns:a14="http://schemas.microsoft.com/office/drawing/2010/main" val="000000" mc:Ignorable="a14" a14:legacySpreadsheetColorIndex="42">
                        <a:gamma/>
                        <a:shade val="46275"/>
                        <a:invGamma/>
                      </a:srgbClr>
                    </a:gs>
                  </a:gsLst>
                  <a:lin ang="5400000" scaled="1"/>
                </a:gradFill>
                <a:ln w="12694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0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3875378253774617E-2"/>
                  <c:y val="-1.3698905166734637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CCFFCC" mc:Ignorable="a14" a14:legacySpreadsheetColorIndex="42"/>
                    </a:gs>
                    <a:gs pos="100000">
                      <a:srgbClr xmlns:mc="http://schemas.openxmlformats.org/markup-compatibility/2006" xmlns:a14="http://schemas.microsoft.com/office/drawing/2010/main" val="000000" mc:Ignorable="a14" a14:legacySpreadsheetColorIndex="42">
                        <a:gamma/>
                        <a:shade val="46275"/>
                        <a:invGamma/>
                      </a:srgbClr>
                    </a:gs>
                  </a:gsLst>
                  <a:lin ang="5400000" scaled="1"/>
                </a:gradFill>
                <a:ln w="12694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1281864414835469E-2"/>
                  <c:y val="1.1270822222919346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CCFFCC" mc:Ignorable="a14" a14:legacySpreadsheetColorIndex="42"/>
                    </a:gs>
                    <a:gs pos="100000">
                      <a:srgbClr xmlns:mc="http://schemas.openxmlformats.org/markup-compatibility/2006" xmlns:a14="http://schemas.microsoft.com/office/drawing/2010/main" val="000000" mc:Ignorable="a14" a14:legacySpreadsheetColorIndex="42">
                        <a:gamma/>
                        <a:shade val="46275"/>
                        <a:invGamma/>
                      </a:srgbClr>
                    </a:gs>
                  </a:gsLst>
                  <a:lin ang="5400000" scaled="1"/>
                </a:gradFill>
                <a:ln w="12694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3584499120708504E-2"/>
                  <c:y val="3.5122502117514195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CCFFCC" mc:Ignorable="a14" a14:legacySpreadsheetColorIndex="42"/>
                    </a:gs>
                    <a:gs pos="100000">
                      <a:srgbClr xmlns:mc="http://schemas.openxmlformats.org/markup-compatibility/2006" xmlns:a14="http://schemas.microsoft.com/office/drawing/2010/main" val="000000" mc:Ignorable="a14" a14:legacySpreadsheetColorIndex="42">
                        <a:gamma/>
                        <a:shade val="46275"/>
                        <a:invGamma/>
                      </a:srgbClr>
                    </a:gs>
                  </a:gsLst>
                  <a:lin ang="5400000" scaled="1"/>
                </a:gradFill>
                <a:ln w="12694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1.186298895736617E-2"/>
                  <c:y val="1.9186247137433345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CCFFCC" mc:Ignorable="a14" a14:legacySpreadsheetColorIndex="42"/>
                    </a:gs>
                    <a:gs pos="100000">
                      <a:srgbClr xmlns:mc="http://schemas.openxmlformats.org/markup-compatibility/2006" xmlns:a14="http://schemas.microsoft.com/office/drawing/2010/main" val="000000" mc:Ignorable="a14" a14:legacySpreadsheetColorIndex="42">
                        <a:gamma/>
                        <a:shade val="46275"/>
                        <a:invGamma/>
                      </a:srgbClr>
                    </a:gs>
                  </a:gsLst>
                  <a:lin ang="5400000" scaled="1"/>
                </a:gradFill>
                <a:ln w="12694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5.2451718183114436E-3"/>
                  <c:y val="2.6194434858989239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CCFFCC" mc:Ignorable="a14" a14:legacySpreadsheetColorIndex="42"/>
                    </a:gs>
                    <a:gs pos="100000">
                      <a:srgbClr xmlns:mc="http://schemas.openxmlformats.org/markup-compatibility/2006" xmlns:a14="http://schemas.microsoft.com/office/drawing/2010/main" val="000000" mc:Ignorable="a14" a14:legacySpreadsheetColorIndex="42">
                        <a:gamma/>
                        <a:shade val="46275"/>
                        <a:invGamma/>
                      </a:srgbClr>
                    </a:gs>
                  </a:gsLst>
                  <a:lin ang="5400000" scaled="1"/>
                </a:gradFill>
                <a:ln w="12694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7.6371615519891002E-3"/>
                  <c:y val="2.237349813345045E-4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CCFFCC" mc:Ignorable="a14" a14:legacySpreadsheetColorIndex="42"/>
                    </a:gs>
                    <a:gs pos="100000">
                      <a:srgbClr xmlns:mc="http://schemas.openxmlformats.org/markup-compatibility/2006" xmlns:a14="http://schemas.microsoft.com/office/drawing/2010/main" val="000000" mc:Ignorable="a14" a14:legacySpreadsheetColorIndex="42">
                        <a:gamma/>
                        <a:shade val="46275"/>
                        <a:invGamma/>
                      </a:srgbClr>
                    </a:gs>
                  </a:gsLst>
                  <a:lin ang="5400000" scaled="1"/>
                </a:gradFill>
                <a:ln w="12694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5.524327064750709E-3"/>
                  <c:y val="-1.3698905166734637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CCFFCC" mc:Ignorable="a14" a14:legacySpreadsheetColorIndex="42"/>
                    </a:gs>
                    <a:gs pos="100000">
                      <a:srgbClr xmlns:mc="http://schemas.openxmlformats.org/markup-compatibility/2006" xmlns:a14="http://schemas.microsoft.com/office/drawing/2010/main" val="000000" mc:Ignorable="a14" a14:legacySpreadsheetColorIndex="42">
                        <a:gamma/>
                        <a:shade val="46275"/>
                        <a:invGamma/>
                      </a:srgbClr>
                    </a:gs>
                  </a:gsLst>
                  <a:lin ang="5400000" scaled="1"/>
                </a:gradFill>
                <a:ln w="12694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1.1370427288138278E-2"/>
                  <c:y val="3.5122502117514195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CCFFCC" mc:Ignorable="a14" a14:legacySpreadsheetColorIndex="42"/>
                    </a:gs>
                    <a:gs pos="100000">
                      <a:srgbClr xmlns:mc="http://schemas.openxmlformats.org/markup-compatibility/2006" xmlns:a14="http://schemas.microsoft.com/office/drawing/2010/main" val="000000" mc:Ignorable="a14" a14:legacySpreadsheetColorIndex="42">
                        <a:gamma/>
                        <a:shade val="46275"/>
                        <a:invGamma/>
                      </a:srgbClr>
                    </a:gs>
                  </a:gsLst>
                  <a:lin ang="5400000" scaled="1"/>
                </a:gradFill>
                <a:ln w="12694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7.7261997179929971E-3"/>
                  <c:y val="2.0198889481443131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CCFFCC" mc:Ignorable="a14" a14:legacySpreadsheetColorIndex="42"/>
                    </a:gs>
                    <a:gs pos="100000">
                      <a:srgbClr xmlns:mc="http://schemas.openxmlformats.org/markup-compatibility/2006" xmlns:a14="http://schemas.microsoft.com/office/drawing/2010/main" val="000000" mc:Ignorable="a14" a14:legacySpreadsheetColorIndex="42">
                        <a:gamma/>
                        <a:shade val="46275"/>
                        <a:invGamma/>
                      </a:srgbClr>
                    </a:gs>
                  </a:gsLst>
                  <a:lin ang="5400000" scaled="1"/>
                </a:gradFill>
                <a:ln w="12694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1.2700296265783678E-2"/>
                  <c:y val="1.9186247137433345E-3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CCFFCC" mc:Ignorable="a14" a14:legacySpreadsheetColorIndex="42"/>
                    </a:gs>
                    <a:gs pos="100000">
                      <a:srgbClr xmlns:mc="http://schemas.openxmlformats.org/markup-compatibility/2006" xmlns:a14="http://schemas.microsoft.com/office/drawing/2010/main" val="000000" mc:Ignorable="a14" a14:legacySpreadsheetColorIndex="42">
                        <a:gamma/>
                        <a:shade val="46275"/>
                        <a:invGamma/>
                      </a:srgbClr>
                    </a:gs>
                  </a:gsLst>
                  <a:lin ang="5400000" scaled="1"/>
                </a:gradFill>
                <a:ln w="12694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A97A-42EF-86F7-6BB0D2260E13}"/>
                </c:ex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7.0439962610306037E-3"/>
                  <c:y val="5.276531668601186E-4"/>
                </c:manualLayout>
              </c:layout>
              <c:spPr>
                <a:gradFill rotWithShape="0">
                  <a:gsLst>
                    <a:gs pos="0">
                      <a:srgbClr xmlns:mc="http://schemas.openxmlformats.org/markup-compatibility/2006" xmlns:a14="http://schemas.microsoft.com/office/drawing/2010/main" val="CCFFCC" mc:Ignorable="a14" a14:legacySpreadsheetColorIndex="42"/>
                    </a:gs>
                    <a:gs pos="100000">
                      <a:srgbClr xmlns:mc="http://schemas.openxmlformats.org/markup-compatibility/2006" xmlns:a14="http://schemas.microsoft.com/office/drawing/2010/main" val="000000" mc:Ignorable="a14" a14:legacySpreadsheetColorIndex="42">
                        <a:gamma/>
                        <a:shade val="46275"/>
                        <a:invGamma/>
                      </a:srgbClr>
                    </a:gs>
                  </a:gsLst>
                  <a:lin ang="5400000" scaled="1"/>
                </a:gradFill>
                <a:ln w="12694">
                  <a:solidFill>
                    <a:srgbClr val="008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A97A-42EF-86F7-6BB0D2260E13}"/>
                </c:ext>
                <c:ext xmlns:c15="http://schemas.microsoft.com/office/drawing/2012/chart" uri="{CE6537A1-D6FC-4f65-9D91-7224C49458BB}"/>
              </c:extLst>
            </c:dLbl>
            <c:spPr>
              <a:gradFill rotWithShape="0">
                <a:gsLst>
                  <a:gs pos="0">
                    <a:srgbClr xmlns:mc="http://schemas.openxmlformats.org/markup-compatibility/2006" xmlns:a14="http://schemas.microsoft.com/office/drawing/2010/main" val="CCFFCC" mc:Ignorable="a14" a14:legacySpreadsheetColorIndex="42"/>
                  </a:gs>
                  <a:gs pos="100000">
                    <a:srgbClr xmlns:mc="http://schemas.openxmlformats.org/markup-compatibility/2006" xmlns:a14="http://schemas.microsoft.com/office/drawing/2010/main" val="000000" mc:Ignorable="a14" a14:legacySpreadsheetColorIndex="42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694">
                <a:solidFill>
                  <a:srgbClr val="008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Sheet1!$B$1:$U$1</c:f>
              <c:numCache>
                <c:formatCode>General</c:formatCode>
                <c:ptCount val="20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</c:numCache>
            </c:numRef>
          </c:cat>
          <c:val>
            <c:numRef>
              <c:f>Sheet1!$B$3:$U$3</c:f>
              <c:numCache>
                <c:formatCode>General</c:formatCode>
                <c:ptCount val="20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9-A97A-42EF-86F7-6BB0D2260E1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cone"/>
        <c:axId val="-713090864"/>
        <c:axId val="-713085968"/>
        <c:axId val="0"/>
      </c:bar3DChart>
      <c:catAx>
        <c:axId val="-713090864"/>
        <c:scaling>
          <c:orientation val="minMax"/>
        </c:scaling>
        <c:delete val="0"/>
        <c:axPos val="b"/>
        <c:majorGridlines>
          <c:spPr>
            <a:ln w="12694">
              <a:solidFill>
                <a:srgbClr val="99CC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uk-UA" sz="1100"/>
                  <a:t>Роки</a:t>
                </a:r>
              </a:p>
            </c:rich>
          </c:tx>
          <c:layout>
            <c:manualLayout>
              <c:xMode val="edge"/>
              <c:yMode val="edge"/>
              <c:x val="0.8820826952526799"/>
              <c:y val="0.94915254237288138"/>
            </c:manualLayout>
          </c:layout>
          <c:overlay val="0"/>
          <c:spPr>
            <a:noFill/>
            <a:ln w="25387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-234000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-713085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713085968"/>
        <c:scaling>
          <c:orientation val="minMax"/>
          <c:max val="15"/>
        </c:scaling>
        <c:delete val="0"/>
        <c:axPos val="l"/>
        <c:majorGridlines>
          <c:spPr>
            <a:ln w="12694">
              <a:solidFill>
                <a:srgbClr val="99CC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 algn="r"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uk-UA" sz="1100"/>
                  <a:t>Кількість нещасних випадків
</a:t>
                </a:r>
              </a:p>
            </c:rich>
          </c:tx>
          <c:layout>
            <c:manualLayout>
              <c:xMode val="edge"/>
              <c:yMode val="edge"/>
              <c:x val="1.2251148545176111E-2"/>
              <c:y val="0.1440677966101695"/>
            </c:manualLayout>
          </c:layout>
          <c:overlay val="0"/>
          <c:spPr>
            <a:noFill/>
            <a:ln w="2538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-713090864"/>
        <c:crosses val="autoZero"/>
        <c:crossBetween val="between"/>
        <c:majorUnit val="1"/>
      </c:valAx>
      <c:spPr>
        <a:noFill/>
        <a:ln w="25387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</c:legendEntry>
      <c:layout>
        <c:manualLayout>
          <c:xMode val="edge"/>
          <c:yMode val="edge"/>
          <c:x val="0.66302555490422854"/>
          <c:y val="0.1446215139442231"/>
          <c:w val="0.25093600975934344"/>
          <c:h val="0.23258826112871353"/>
        </c:manualLayout>
      </c:layout>
      <c:overlay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FFFF" mc:Ignorable="a14" a14:legacySpreadsheetColorIndex="9"/>
            </a:gs>
            <a:gs pos="100000">
              <a:srgbClr xmlns:mc="http://schemas.openxmlformats.org/markup-compatibility/2006" xmlns:a14="http://schemas.microsoft.com/office/drawing/2010/main" val="CCFFCC" mc:Ignorable="a14" a14:legacySpreadsheetColorIndex="42"/>
            </a:gs>
          </a:gsLst>
          <a:lin ang="0" scaled="1"/>
        </a:gradFill>
        <a:ln w="12694">
          <a:solidFill>
            <a:srgbClr val="339966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14065</Words>
  <Characters>8018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Нина</dc:creator>
  <cp:keywords/>
  <dc:description/>
  <cp:lastModifiedBy>Полищук Нина</cp:lastModifiedBy>
  <cp:revision>3</cp:revision>
  <cp:lastPrinted>2019-03-19T14:06:00Z</cp:lastPrinted>
  <dcterms:created xsi:type="dcterms:W3CDTF">2019-03-19T14:06:00Z</dcterms:created>
  <dcterms:modified xsi:type="dcterms:W3CDTF">2019-03-19T14:32:00Z</dcterms:modified>
</cp:coreProperties>
</file>